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Md. State Government Code Ann. § 2-10A-14</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 xml:space="preserve"> Current through all legislation from the 2023 Regular Session of the General Assembly. </w:t>
      </w:r>
    </w:p>
    <w:p>
      <w:pPr>
        <w:keepNext w:val="0"/>
        <w:spacing w:after="0" w:line="240" w:lineRule="atLeast"/>
        <w:ind w:right="0"/>
        <w:jc w:val="both"/>
      </w:pPr>
      <w:bookmarkStart w:id="0" w:name="Bookmark_49"/>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Michie’s™ Annotated Code of Maryland</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State Government (Titles 1 — 21)</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2. General Assembly. (Subts. 1 — 18)</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Subtitle 10A. Miscellaneous Statutory Committees. (§§ 2-10A-01 — 2-10A-15)</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2-10A-14. Joint Committee on Legislative Information Technology and Open Government.</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(a)  </w:t>
      </w:r>
      <w:bookmarkStart w:id="1" w:name="Bookmark__a"/>
      <w:bookmarkEnd w:id="1"/>
      <w:r>
        <w:rPr>
          <w:rFonts w:ascii="times" w:eastAsia="times" w:hAnsi="times" w:cs="times"/>
          <w:b w:val="0"/>
          <w:i w:val="0"/>
          <w:strike w:val="0"/>
          <w:noProof w:val="0"/>
          <w:color w:val="000000"/>
          <w:position w:val="0"/>
          <w:sz w:val="24"/>
          <w:u w:val="none"/>
          <w:vertAlign w:val="baseline"/>
        </w:rPr>
        <w:t>There is a Joint Committee on Legislative Information Technology and Open Government.</w:t>
      </w:r>
    </w:p>
    <w:p>
      <w:pPr>
        <w:spacing w:before="120" w:line="240" w:lineRule="atLeast"/>
        <w:ind w:left="720"/>
      </w:pPr>
      <w:r>
        <w:rPr>
          <w:b/>
        </w:rPr>
        <w:t xml:space="preserve">(b)  </w:t>
      </w:r>
      <w:bookmarkStart w:id="2" w:name="Bookmark__b"/>
      <w:bookmarkEnd w:id="2"/>
    </w:p>
    <w:p>
      <w:pPr>
        <w:keepNext w:val="0"/>
        <w:spacing w:before="120" w:after="0" w:line="300" w:lineRule="atLeast"/>
        <w:ind w:left="1080" w:right="0"/>
        <w:jc w:val="left"/>
      </w:pPr>
      <w:r>
        <w:rPr>
          <w:b/>
        </w:rPr>
        <w:t xml:space="preserve">(1)  </w:t>
      </w:r>
      <w:bookmarkStart w:id="3" w:name="Bookmark__b_1"/>
      <w:bookmarkEnd w:id="3"/>
      <w:r>
        <w:rPr>
          <w:rFonts w:ascii="times" w:eastAsia="times" w:hAnsi="times" w:cs="times"/>
          <w:b w:val="0"/>
          <w:i w:val="0"/>
          <w:strike w:val="0"/>
          <w:noProof w:val="0"/>
          <w:color w:val="000000"/>
          <w:position w:val="0"/>
          <w:sz w:val="24"/>
          <w:u w:val="none"/>
          <w:vertAlign w:val="baseline"/>
        </w:rPr>
        <w:t>The Committee consists of 12 members.</w:t>
      </w:r>
    </w:p>
    <w:p>
      <w:pPr>
        <w:keepNext w:val="0"/>
        <w:spacing w:before="120" w:after="0" w:line="300" w:lineRule="atLeast"/>
        <w:ind w:left="1080" w:right="0"/>
        <w:jc w:val="left"/>
      </w:pPr>
      <w:r>
        <w:rPr>
          <w:b/>
        </w:rPr>
        <w:t xml:space="preserve">(2)  </w:t>
      </w:r>
      <w:bookmarkStart w:id="4" w:name="Bookmark__b_2"/>
      <w:bookmarkEnd w:id="4"/>
      <w:r>
        <w:rPr>
          <w:rFonts w:ascii="times" w:eastAsia="times" w:hAnsi="times" w:cs="times"/>
          <w:b w:val="0"/>
          <w:i w:val="0"/>
          <w:strike w:val="0"/>
          <w:noProof w:val="0"/>
          <w:color w:val="000000"/>
          <w:position w:val="0"/>
          <w:sz w:val="24"/>
          <w:u w:val="none"/>
          <w:vertAlign w:val="baseline"/>
        </w:rPr>
        <w:t>Of the 12 members:</w:t>
      </w:r>
    </w:p>
    <w:p>
      <w:pPr>
        <w:keepNext w:val="0"/>
        <w:spacing w:before="120" w:after="0" w:line="300" w:lineRule="atLeast"/>
        <w:ind w:left="1440" w:right="0"/>
        <w:jc w:val="left"/>
      </w:pPr>
      <w:r>
        <w:rPr>
          <w:b/>
        </w:rPr>
        <w:t xml:space="preserve">(i)  </w:t>
      </w:r>
      <w:bookmarkStart w:id="5" w:name="Bookmark__b_2_i"/>
      <w:bookmarkEnd w:id="5"/>
      <w:r>
        <w:rPr>
          <w:rFonts w:ascii="times" w:eastAsia="times" w:hAnsi="times" w:cs="times"/>
          <w:b w:val="0"/>
          <w:i w:val="0"/>
          <w:strike w:val="0"/>
          <w:noProof w:val="0"/>
          <w:color w:val="000000"/>
          <w:position w:val="0"/>
          <w:sz w:val="24"/>
          <w:u w:val="none"/>
          <w:vertAlign w:val="baseline"/>
        </w:rPr>
        <w:t>6 shall be members of the Senate of Maryland, appointed by the President of the Senate; and</w:t>
      </w:r>
    </w:p>
    <w:p>
      <w:pPr>
        <w:keepNext w:val="0"/>
        <w:spacing w:before="120" w:after="0" w:line="300" w:lineRule="atLeast"/>
        <w:ind w:left="1440" w:right="0"/>
        <w:jc w:val="left"/>
      </w:pPr>
      <w:r>
        <w:rPr>
          <w:b/>
        </w:rPr>
        <w:t xml:space="preserve">(ii)  </w:t>
      </w:r>
      <w:bookmarkStart w:id="6" w:name="Bookmark__b_2_ii"/>
      <w:bookmarkEnd w:id="6"/>
      <w:r>
        <w:rPr>
          <w:rFonts w:ascii="times" w:eastAsia="times" w:hAnsi="times" w:cs="times"/>
          <w:b w:val="0"/>
          <w:i w:val="0"/>
          <w:strike w:val="0"/>
          <w:noProof w:val="0"/>
          <w:color w:val="000000"/>
          <w:position w:val="0"/>
          <w:sz w:val="24"/>
          <w:u w:val="none"/>
          <w:vertAlign w:val="baseline"/>
        </w:rPr>
        <w:t>6 shall be members of the House of Delegates, appointed by the Speaker of the House.</w:t>
      </w:r>
    </w:p>
    <w:p>
      <w:pPr>
        <w:keepNext w:val="0"/>
        <w:spacing w:before="120" w:after="0" w:line="300" w:lineRule="atLeast"/>
        <w:ind w:left="720" w:right="0"/>
        <w:jc w:val="left"/>
      </w:pPr>
      <w:r>
        <w:rPr>
          <w:b/>
        </w:rPr>
        <w:t xml:space="preserve">(c)  </w:t>
      </w:r>
      <w:bookmarkStart w:id="7" w:name="Bookmark__c"/>
      <w:bookmarkEnd w:id="7"/>
      <w:r>
        <w:rPr>
          <w:rFonts w:ascii="times" w:eastAsia="times" w:hAnsi="times" w:cs="times"/>
          <w:b w:val="0"/>
          <w:i w:val="0"/>
          <w:strike w:val="0"/>
          <w:noProof w:val="0"/>
          <w:color w:val="000000"/>
          <w:position w:val="0"/>
          <w:sz w:val="24"/>
          <w:u w:val="none"/>
          <w:vertAlign w:val="baseline"/>
        </w:rPr>
        <w:t>From among the membership of the Committee, the President of the Senate shall appoint a Senator to serve as the Senate Chair of the Committee, and the Speaker of the House shall appoint a Delegate to serve as the House Chair of the Committee.</w:t>
      </w:r>
    </w:p>
    <w:p>
      <w:pPr>
        <w:keepNext w:val="0"/>
        <w:spacing w:before="120" w:after="0" w:line="300" w:lineRule="atLeast"/>
        <w:ind w:left="720" w:right="0"/>
        <w:jc w:val="left"/>
      </w:pPr>
      <w:r>
        <w:rPr>
          <w:b/>
        </w:rPr>
        <w:t xml:space="preserve">(d)  </w:t>
      </w:r>
      <w:bookmarkStart w:id="8" w:name="Bookmark__d"/>
      <w:bookmarkEnd w:id="8"/>
      <w:r>
        <w:rPr>
          <w:rFonts w:ascii="times" w:eastAsia="times" w:hAnsi="times" w:cs="times"/>
          <w:b w:val="0"/>
          <w:i w:val="0"/>
          <w:strike w:val="0"/>
          <w:noProof w:val="0"/>
          <w:color w:val="000000"/>
          <w:position w:val="0"/>
          <w:sz w:val="24"/>
          <w:u w:val="none"/>
          <w:vertAlign w:val="baseline"/>
        </w:rPr>
        <w:t>The Department of Legislative Services shall provide staff assistance to the Committee.</w:t>
      </w:r>
    </w:p>
    <w:p>
      <w:pPr>
        <w:keepNext w:val="0"/>
        <w:spacing w:before="120" w:after="0" w:line="300" w:lineRule="atLeast"/>
        <w:ind w:left="720" w:right="0"/>
        <w:jc w:val="left"/>
      </w:pPr>
      <w:r>
        <w:rPr>
          <w:b/>
        </w:rPr>
        <w:t xml:space="preserve">(e)  </w:t>
      </w:r>
      <w:bookmarkStart w:id="9" w:name="Bookmark__e"/>
      <w:bookmarkEnd w:id="9"/>
      <w:r>
        <w:rPr>
          <w:rFonts w:ascii="times" w:eastAsia="times" w:hAnsi="times" w:cs="times"/>
          <w:b w:val="0"/>
          <w:i w:val="0"/>
          <w:strike w:val="0"/>
          <w:noProof w:val="0"/>
          <w:color w:val="000000"/>
          <w:position w:val="0"/>
          <w:sz w:val="24"/>
          <w:u w:val="none"/>
          <w:vertAlign w:val="baseline"/>
        </w:rPr>
        <w:t>The Committee shall:</w:t>
      </w:r>
    </w:p>
    <w:p>
      <w:pPr>
        <w:keepNext w:val="0"/>
        <w:spacing w:before="120" w:after="0" w:line="300" w:lineRule="atLeast"/>
        <w:ind w:left="1080" w:right="0"/>
        <w:jc w:val="left"/>
      </w:pPr>
      <w:r>
        <w:rPr>
          <w:b/>
        </w:rPr>
        <w:t xml:space="preserve">(1)  </w:t>
      </w:r>
      <w:bookmarkStart w:id="10" w:name="Bookmark__e_1"/>
      <w:bookmarkEnd w:id="10"/>
      <w:r>
        <w:rPr>
          <w:rFonts w:ascii="times" w:eastAsia="times" w:hAnsi="times" w:cs="times"/>
          <w:b w:val="0"/>
          <w:i w:val="0"/>
          <w:strike w:val="0"/>
          <w:noProof w:val="0"/>
          <w:color w:val="000000"/>
          <w:position w:val="0"/>
          <w:sz w:val="24"/>
          <w:u w:val="none"/>
          <w:vertAlign w:val="baseline"/>
        </w:rPr>
        <w:t>review and evaluate legislative information technology systems and goals for the General Assembly and its staff agencies;</w:t>
      </w:r>
    </w:p>
    <w:p>
      <w:pPr>
        <w:keepNext w:val="0"/>
        <w:spacing w:before="120" w:after="0" w:line="300" w:lineRule="atLeast"/>
        <w:ind w:left="1080" w:right="0"/>
        <w:jc w:val="left"/>
      </w:pPr>
      <w:r>
        <w:rPr>
          <w:b/>
        </w:rPr>
        <w:t xml:space="preserve">(2)  </w:t>
      </w:r>
      <w:bookmarkStart w:id="11" w:name="Bookmark__e_2"/>
      <w:bookmarkEnd w:id="11"/>
      <w:r>
        <w:rPr>
          <w:rFonts w:ascii="times" w:eastAsia="times" w:hAnsi="times" w:cs="times"/>
          <w:b w:val="0"/>
          <w:i w:val="0"/>
          <w:strike w:val="0"/>
          <w:noProof w:val="0"/>
          <w:color w:val="000000"/>
          <w:position w:val="0"/>
          <w:sz w:val="24"/>
          <w:u w:val="none"/>
          <w:vertAlign w:val="baseline"/>
        </w:rPr>
        <w:t>identify areas in which the State can improve its technology, websites, programs, and services to increase transparency, citizen engagement, and public awareness of and access to government resources, publications, and actions;</w:t>
      </w:r>
    </w:p>
    <w:p>
      <w:pPr>
        <w:keepNext w:val="0"/>
        <w:spacing w:before="120" w:after="0" w:line="300" w:lineRule="atLeast"/>
        <w:ind w:left="1080" w:right="0"/>
        <w:jc w:val="left"/>
      </w:pPr>
      <w:r>
        <w:rPr>
          <w:b/>
        </w:rPr>
        <w:t xml:space="preserve">(3)  </w:t>
      </w:r>
      <w:bookmarkStart w:id="12" w:name="Bookmark__e_3"/>
      <w:bookmarkEnd w:id="12"/>
      <w:r>
        <w:rPr>
          <w:rFonts w:ascii="times" w:eastAsia="times" w:hAnsi="times" w:cs="times"/>
          <w:b w:val="0"/>
          <w:i w:val="0"/>
          <w:strike w:val="0"/>
          <w:noProof w:val="0"/>
          <w:color w:val="000000"/>
          <w:position w:val="0"/>
          <w:sz w:val="24"/>
          <w:u w:val="none"/>
          <w:vertAlign w:val="baseline"/>
        </w:rPr>
        <w:t>evaluate the effects of transparency and open government policies and actions on the security of State information technology systems and information held by State units;</w:t>
      </w:r>
    </w:p>
    <w:p>
      <w:pPr>
        <w:keepNext w:val="0"/>
        <w:spacing w:before="120" w:after="0" w:line="300" w:lineRule="atLeast"/>
        <w:ind w:left="1080" w:right="0"/>
        <w:jc w:val="left"/>
      </w:pPr>
      <w:r>
        <w:rPr>
          <w:b/>
        </w:rPr>
        <w:t xml:space="preserve">(4)  </w:t>
      </w:r>
      <w:bookmarkStart w:id="13" w:name="Bookmark__e_4"/>
      <w:bookmarkEnd w:id="13"/>
      <w:r>
        <w:rPr>
          <w:rFonts w:ascii="times" w:eastAsia="times" w:hAnsi="times" w:cs="times"/>
          <w:b w:val="0"/>
          <w:i w:val="0"/>
          <w:strike w:val="0"/>
          <w:noProof w:val="0"/>
          <w:color w:val="000000"/>
          <w:position w:val="0"/>
          <w:sz w:val="24"/>
          <w:u w:val="none"/>
          <w:vertAlign w:val="baseline"/>
        </w:rPr>
        <w:t>make recommendations regarding:</w:t>
      </w:r>
    </w:p>
    <w:p>
      <w:pPr>
        <w:keepNext w:val="0"/>
        <w:spacing w:before="120" w:after="0" w:line="300" w:lineRule="atLeast"/>
        <w:ind w:left="1440" w:right="0"/>
        <w:jc w:val="left"/>
      </w:pPr>
      <w:r>
        <w:rPr>
          <w:b/>
        </w:rPr>
        <w:t xml:space="preserve">(i)  </w:t>
      </w:r>
      <w:bookmarkStart w:id="14" w:name="Bookmark__e_4_i"/>
      <w:bookmarkEnd w:id="14"/>
      <w:r>
        <w:rPr>
          <w:rFonts w:ascii="times" w:eastAsia="times" w:hAnsi="times" w:cs="times"/>
          <w:b w:val="0"/>
          <w:i w:val="0"/>
          <w:strike w:val="0"/>
          <w:noProof w:val="0"/>
          <w:color w:val="000000"/>
          <w:position w:val="0"/>
          <w:sz w:val="24"/>
          <w:u w:val="none"/>
          <w:vertAlign w:val="baseline"/>
        </w:rPr>
        <w:t>legislative information technology systems and goals for the General Assembly and its staff agencies;</w:t>
      </w:r>
    </w:p>
    <w:p>
      <w:pPr>
        <w:keepNext w:val="0"/>
        <w:spacing w:before="120" w:after="0" w:line="300" w:lineRule="atLeast"/>
        <w:ind w:left="1440" w:right="0"/>
        <w:jc w:val="left"/>
      </w:pPr>
      <w:r>
        <w:rPr>
          <w:b/>
        </w:rPr>
        <w:t xml:space="preserve">(ii)  </w:t>
      </w:r>
      <w:bookmarkStart w:id="15" w:name="Bookmark__e_4_ii"/>
      <w:bookmarkEnd w:id="15"/>
      <w:r>
        <w:rPr>
          <w:rFonts w:ascii="times" w:eastAsia="times" w:hAnsi="times" w:cs="times"/>
          <w:b w:val="0"/>
          <w:i w:val="0"/>
          <w:strike w:val="0"/>
          <w:noProof w:val="0"/>
          <w:color w:val="000000"/>
          <w:position w:val="0"/>
          <w:sz w:val="24"/>
          <w:u w:val="none"/>
          <w:vertAlign w:val="baseline"/>
        </w:rPr>
        <w:t>policies or actions to enhance the security of State information technology systems and information held by State units; and</w:t>
      </w:r>
    </w:p>
    <w:p>
      <w:pPr>
        <w:keepNext w:val="0"/>
        <w:spacing w:before="120" w:after="0" w:line="300" w:lineRule="atLeast"/>
        <w:ind w:left="1440" w:right="0"/>
        <w:jc w:val="left"/>
      </w:pPr>
      <w:r>
        <w:rPr>
          <w:b/>
        </w:rPr>
        <w:t xml:space="preserve">(iii)  </w:t>
      </w:r>
      <w:bookmarkStart w:id="16" w:name="Bookmark__e_4_iii"/>
      <w:bookmarkEnd w:id="16"/>
      <w:r>
        <w:rPr>
          <w:rFonts w:ascii="times" w:eastAsia="times" w:hAnsi="times" w:cs="times"/>
          <w:b w:val="0"/>
          <w:i w:val="0"/>
          <w:strike w:val="0"/>
          <w:noProof w:val="0"/>
          <w:color w:val="000000"/>
          <w:position w:val="0"/>
          <w:sz w:val="24"/>
          <w:u w:val="none"/>
          <w:vertAlign w:val="baseline"/>
        </w:rPr>
        <w:t>laws, programs, services, or budgetary priorities necessary to ensure and promote transparency and open government in the State; and</w:t>
      </w:r>
    </w:p>
    <w:p>
      <w:pPr>
        <w:keepNext w:val="0"/>
        <w:spacing w:before="120" w:after="0" w:line="300" w:lineRule="atLeast"/>
        <w:ind w:left="1080" w:right="0"/>
        <w:jc w:val="left"/>
      </w:pPr>
      <w:r>
        <w:rPr>
          <w:b/>
        </w:rPr>
        <w:t xml:space="preserve">(5)  </w:t>
      </w:r>
      <w:bookmarkStart w:id="17" w:name="Bookmark__e_5"/>
      <w:bookmarkEnd w:id="17"/>
      <w:r>
        <w:rPr>
          <w:rFonts w:ascii="times" w:eastAsia="times" w:hAnsi="times" w:cs="times"/>
          <w:b w:val="0"/>
          <w:i w:val="0"/>
          <w:strike w:val="0"/>
          <w:noProof w:val="0"/>
          <w:color w:val="000000"/>
          <w:position w:val="0"/>
          <w:sz w:val="24"/>
          <w:u w:val="none"/>
          <w:vertAlign w:val="baseline"/>
        </w:rPr>
        <w:t>perform any other activity related to legislative information technology systems or open government as designated by the cochairs of the Committee.</w:t>
      </w:r>
    </w:p>
    <w:p>
      <w:pPr>
        <w:spacing w:before="120" w:line="240" w:lineRule="atLeast"/>
        <w:ind w:left="720"/>
      </w:pPr>
      <w:r>
        <w:rPr>
          <w:b/>
        </w:rPr>
        <w:t xml:space="preserve">(f)  </w:t>
      </w:r>
      <w:bookmarkStart w:id="18" w:name="Bookmark__f"/>
      <w:bookmarkEnd w:id="18"/>
    </w:p>
    <w:p>
      <w:pPr>
        <w:keepNext w:val="0"/>
        <w:spacing w:before="120" w:after="0" w:line="300" w:lineRule="atLeast"/>
        <w:ind w:left="1080" w:right="0"/>
        <w:jc w:val="left"/>
      </w:pPr>
      <w:r>
        <w:rPr>
          <w:b/>
        </w:rPr>
        <w:t xml:space="preserve">(1)  </w:t>
      </w:r>
      <w:bookmarkStart w:id="19" w:name="Bookmark__f_1"/>
      <w:bookmarkEnd w:id="19"/>
      <w:r>
        <w:rPr>
          <w:rFonts w:ascii="times" w:eastAsia="times" w:hAnsi="times" w:cs="times"/>
          <w:b w:val="0"/>
          <w:i w:val="0"/>
          <w:strike w:val="0"/>
          <w:noProof w:val="0"/>
          <w:color w:val="000000"/>
          <w:position w:val="0"/>
          <w:sz w:val="24"/>
          <w:u w:val="none"/>
          <w:vertAlign w:val="baseline"/>
        </w:rPr>
        <w:t>Subject to § 2-1257 of this title, the Committee shall submit a report to the Legislative Policy Committee on or before December 1 each year.</w:t>
      </w:r>
    </w:p>
    <w:p>
      <w:pPr>
        <w:keepNext w:val="0"/>
        <w:spacing w:before="120" w:after="0" w:line="300" w:lineRule="atLeast"/>
        <w:ind w:left="1080" w:right="0"/>
        <w:jc w:val="left"/>
      </w:pPr>
      <w:r>
        <w:rPr>
          <w:b/>
        </w:rPr>
        <w:t xml:space="preserve">(2)  </w:t>
      </w:r>
      <w:bookmarkStart w:id="20" w:name="Bookmark__f_2"/>
      <w:bookmarkEnd w:id="20"/>
      <w:r>
        <w:rPr>
          <w:rFonts w:ascii="times" w:eastAsia="times" w:hAnsi="times" w:cs="times"/>
          <w:b w:val="0"/>
          <w:i w:val="0"/>
          <w:strike w:val="0"/>
          <w:noProof w:val="0"/>
          <w:color w:val="000000"/>
          <w:position w:val="0"/>
          <w:sz w:val="24"/>
          <w:u w:val="none"/>
          <w:vertAlign w:val="baseline"/>
        </w:rPr>
        <w:t>The report shall include:</w:t>
      </w:r>
    </w:p>
    <w:p>
      <w:pPr>
        <w:keepNext w:val="0"/>
        <w:spacing w:before="120" w:after="0" w:line="300" w:lineRule="atLeast"/>
        <w:ind w:left="1440" w:right="0"/>
        <w:jc w:val="left"/>
      </w:pPr>
      <w:r>
        <w:rPr>
          <w:b/>
        </w:rPr>
        <w:t xml:space="preserve">(i)  </w:t>
      </w:r>
      <w:bookmarkStart w:id="21" w:name="Bookmark__f_2_i"/>
      <w:bookmarkEnd w:id="21"/>
      <w:r>
        <w:rPr>
          <w:rFonts w:ascii="times" w:eastAsia="times" w:hAnsi="times" w:cs="times"/>
          <w:b w:val="0"/>
          <w:i w:val="0"/>
          <w:strike w:val="0"/>
          <w:noProof w:val="0"/>
          <w:color w:val="000000"/>
          <w:position w:val="0"/>
          <w:sz w:val="24"/>
          <w:u w:val="none"/>
          <w:vertAlign w:val="baseline"/>
        </w:rPr>
        <w:t>a description of the work of the Committee; and</w:t>
      </w:r>
    </w:p>
    <w:p>
      <w:pPr>
        <w:keepNext w:val="0"/>
        <w:spacing w:before="120" w:after="0" w:line="300" w:lineRule="atLeast"/>
        <w:ind w:left="1440" w:right="0"/>
        <w:jc w:val="left"/>
      </w:pPr>
      <w:r>
        <w:rPr>
          <w:b/>
        </w:rPr>
        <w:t xml:space="preserve">(ii)  </w:t>
      </w:r>
      <w:bookmarkStart w:id="22" w:name="Bookmark__f_2_ii"/>
      <w:bookmarkEnd w:id="22"/>
      <w:r>
        <w:rPr>
          <w:rFonts w:ascii="times" w:eastAsia="times" w:hAnsi="times" w:cs="times"/>
          <w:b w:val="0"/>
          <w:i w:val="0"/>
          <w:strike w:val="0"/>
          <w:noProof w:val="0"/>
          <w:color w:val="000000"/>
          <w:position w:val="0"/>
          <w:sz w:val="24"/>
          <w:u w:val="none"/>
          <w:vertAlign w:val="baseline"/>
        </w:rPr>
        <w:t>any recommendations of the Committee.</w:t>
      </w:r>
    </w:p>
    <w:p>
      <w:pPr>
        <w:keepNext/>
        <w:spacing w:before="240" w:after="0" w:line="340" w:lineRule="atLeast"/>
        <w:ind w:left="0" w:right="0" w:firstLine="0"/>
        <w:jc w:val="left"/>
      </w:pPr>
      <w:bookmarkStart w:id="23" w:name="History"/>
      <w:bookmarkEnd w:id="23"/>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2011, chs. 508, 509; 2014, ch. 464, § 1; 2019, ch. 510, § 4; ch. 511, § 4; 2021, ch. 109, § 5.</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Michie’s™ Annotated Code of Maryland</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Trayce Hockstad</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Md. State Government Code Ann. § 2-10A-14</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Md. State Government Code Ann. § 2-10A-14</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222380439</vt:lpwstr>
  </property>
  <property fmtid="{D5CDD505-2E9C-101B-9397-08002B2CF9AE}" pid="3" name="LADocCount">
    <vt:lpwstr>1</vt:lpwstr>
  </property>
  <property fmtid="{D5CDD505-2E9C-101B-9397-08002B2CF9AE}" pid="4" name="LADocumentID:urn:contentItem:63SM-W0K1-DYB7-W3HM-00000-00">
    <vt:lpwstr>Doc::/shared/document|contextualFeaturePermID::1516831</vt:lpwstr>
  </property>
  <property fmtid="{D5CDD505-2E9C-101B-9397-08002B2CF9AE}" pid="5" name="UserPermID">
    <vt:lpwstr>urn:user:PA186163333</vt:lpwstr>
  </property>
</Properties>
</file>