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Insurance Code Ann. § 33-101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(Titles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33. Insurance Data Security. (§§ 33-101 — 33-109)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title the following words have the meanings indicated.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“Authorized individual” means an individual: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known to and screened by the carrier;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for whom the carrier has determined it to be necessary and appropriate that the individual have access to the nonpublic information held by the carrier and its information systems.</w:t>
      </w:r>
    </w:p>
    <w:p>
      <w:pPr>
        <w:spacing w:before="120" w:line="240" w:lineRule="atLeast"/>
        <w:ind w:left="720"/>
      </w:pPr>
      <w:r>
        <w:rPr>
          <w:b/>
        </w:rPr>
        <w:t xml:space="preserve">(c)  </w:t>
      </w:r>
      <w:bookmarkStart w:id="5" w:name="Bookmark__c"/>
      <w:bookmarkEnd w:id="5"/>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“Carrier” means:</w:t>
      </w:r>
    </w:p>
    <w:p>
      <w:pPr>
        <w:keepNext w:val="0"/>
        <w:spacing w:before="120" w:after="0" w:line="300" w:lineRule="atLeast"/>
        <w:ind w:left="1440" w:right="0"/>
        <w:jc w:val="left"/>
      </w:pPr>
      <w:r>
        <w:rPr>
          <w:b/>
        </w:rPr>
        <w:t xml:space="preserve">(i)  </w:t>
      </w:r>
      <w:bookmarkStart w:id="7" w:name="Bookmark__c_1_i"/>
      <w:bookmarkEnd w:id="7"/>
      <w:r>
        <w:rPr>
          <w:rFonts w:ascii="times" w:eastAsia="times" w:hAnsi="times" w:cs="times"/>
          <w:b w:val="0"/>
          <w:i w:val="0"/>
          <w:strike w:val="0"/>
          <w:noProof w:val="0"/>
          <w:color w:val="000000"/>
          <w:position w:val="0"/>
          <w:sz w:val="24"/>
          <w:u w:val="none"/>
          <w:vertAlign w:val="baseline"/>
        </w:rPr>
        <w:t>an authorized insurer;</w:t>
      </w:r>
    </w:p>
    <w:p>
      <w:pPr>
        <w:keepNext w:val="0"/>
        <w:spacing w:before="120" w:after="0" w:line="300" w:lineRule="atLeast"/>
        <w:ind w:left="1440" w:right="0"/>
        <w:jc w:val="left"/>
      </w:pPr>
      <w:r>
        <w:rPr>
          <w:b/>
        </w:rPr>
        <w:t xml:space="preserve">(ii)  </w:t>
      </w:r>
      <w:bookmarkStart w:id="8" w:name="Bookmark__c_1_ii"/>
      <w:bookmarkEnd w:id="8"/>
      <w:r>
        <w:rPr>
          <w:rFonts w:ascii="times" w:eastAsia="times" w:hAnsi="times" w:cs="times"/>
          <w:b w:val="0"/>
          <w:i w:val="0"/>
          <w:strike w:val="0"/>
          <w:noProof w:val="0"/>
          <w:color w:val="000000"/>
          <w:position w:val="0"/>
          <w:sz w:val="24"/>
          <w:u w:val="none"/>
          <w:vertAlign w:val="baseline"/>
        </w:rPr>
        <w:t>a nonprofit health service plan;</w:t>
      </w:r>
    </w:p>
    <w:p>
      <w:pPr>
        <w:keepNext w:val="0"/>
        <w:spacing w:before="120" w:after="0" w:line="300" w:lineRule="atLeast"/>
        <w:ind w:left="1440" w:right="0"/>
        <w:jc w:val="left"/>
      </w:pPr>
      <w:r>
        <w:rPr>
          <w:b/>
        </w:rPr>
        <w:t xml:space="preserve">(iii)  </w:t>
      </w:r>
      <w:bookmarkStart w:id="9" w:name="Bookmark__c_1_iii"/>
      <w:bookmarkEnd w:id="9"/>
      <w:r>
        <w:rPr>
          <w:rFonts w:ascii="times" w:eastAsia="times" w:hAnsi="times" w:cs="times"/>
          <w:b w:val="0"/>
          <w:i w:val="0"/>
          <w:strike w:val="0"/>
          <w:noProof w:val="0"/>
          <w:color w:val="000000"/>
          <w:position w:val="0"/>
          <w:sz w:val="24"/>
          <w:u w:val="none"/>
          <w:vertAlign w:val="baseline"/>
        </w:rPr>
        <w:t>a health maintenance organization;</w:t>
      </w:r>
    </w:p>
    <w:p>
      <w:pPr>
        <w:keepNext w:val="0"/>
        <w:spacing w:before="120" w:after="0" w:line="300" w:lineRule="atLeast"/>
        <w:ind w:left="1440" w:right="0"/>
        <w:jc w:val="left"/>
      </w:pPr>
      <w:r>
        <w:rPr>
          <w:b/>
        </w:rPr>
        <w:t xml:space="preserve">(iv)  </w:t>
      </w:r>
      <w:bookmarkStart w:id="10" w:name="Bookmark__c_1_iv"/>
      <w:bookmarkEnd w:id="10"/>
      <w:r>
        <w:rPr>
          <w:rFonts w:ascii="times" w:eastAsia="times" w:hAnsi="times" w:cs="times"/>
          <w:b w:val="0"/>
          <w:i w:val="0"/>
          <w:strike w:val="0"/>
          <w:noProof w:val="0"/>
          <w:color w:val="000000"/>
          <w:position w:val="0"/>
          <w:sz w:val="24"/>
          <w:u w:val="none"/>
          <w:vertAlign w:val="baseline"/>
        </w:rPr>
        <w:t>a dental organization;</w:t>
      </w:r>
    </w:p>
    <w:p>
      <w:pPr>
        <w:keepNext w:val="0"/>
        <w:spacing w:before="120" w:after="0" w:line="300" w:lineRule="atLeast"/>
        <w:ind w:left="1440" w:right="0"/>
        <w:jc w:val="left"/>
      </w:pPr>
      <w:r>
        <w:rPr>
          <w:b/>
        </w:rPr>
        <w:t xml:space="preserve">(v)  </w:t>
      </w:r>
      <w:bookmarkStart w:id="11" w:name="Bookmark__c_1_v"/>
      <w:bookmarkEnd w:id="11"/>
      <w:r>
        <w:rPr>
          <w:rFonts w:ascii="times" w:eastAsia="times" w:hAnsi="times" w:cs="times"/>
          <w:b w:val="0"/>
          <w:i w:val="0"/>
          <w:strike w:val="0"/>
          <w:noProof w:val="0"/>
          <w:color w:val="000000"/>
          <w:position w:val="0"/>
          <w:sz w:val="24"/>
          <w:u w:val="none"/>
          <w:vertAlign w:val="baseline"/>
        </w:rPr>
        <w:t>a managed general agent; or</w:t>
      </w:r>
    </w:p>
    <w:p>
      <w:pPr>
        <w:keepNext w:val="0"/>
        <w:spacing w:before="120" w:after="0" w:line="300" w:lineRule="atLeast"/>
        <w:ind w:left="1440" w:right="0"/>
        <w:jc w:val="left"/>
      </w:pPr>
      <w:r>
        <w:rPr>
          <w:b/>
        </w:rPr>
        <w:t xml:space="preserve">(vi)  </w:t>
      </w:r>
      <w:bookmarkStart w:id="12" w:name="Bookmark__c_1_vi"/>
      <w:bookmarkEnd w:id="12"/>
      <w:r>
        <w:rPr>
          <w:rFonts w:ascii="times" w:eastAsia="times" w:hAnsi="times" w:cs="times"/>
          <w:b w:val="0"/>
          <w:i w:val="0"/>
          <w:strike w:val="0"/>
          <w:noProof w:val="0"/>
          <w:color w:val="000000"/>
          <w:position w:val="0"/>
          <w:sz w:val="24"/>
          <w:u w:val="none"/>
          <w:vertAlign w:val="baseline"/>
        </w:rPr>
        <w:t>a third-party administrator.</w:t>
      </w:r>
    </w:p>
    <w:p>
      <w:pPr>
        <w:keepNext w:val="0"/>
        <w:spacing w:before="120" w:after="0" w:line="300" w:lineRule="atLeast"/>
        <w:ind w:left="1080" w:right="0"/>
        <w:jc w:val="left"/>
      </w:pPr>
      <w:r>
        <w:rPr>
          <w:b/>
        </w:rPr>
        <w:t xml:space="preserve">(2)  </w:t>
      </w:r>
      <w:bookmarkStart w:id="13" w:name="Bookmark__c_2"/>
      <w:bookmarkEnd w:id="13"/>
      <w:r>
        <w:rPr>
          <w:rFonts w:ascii="times" w:eastAsia="times" w:hAnsi="times" w:cs="times"/>
          <w:b w:val="0"/>
          <w:i w:val="0"/>
          <w:strike w:val="0"/>
          <w:noProof w:val="0"/>
          <w:color w:val="000000"/>
          <w:position w:val="0"/>
          <w:sz w:val="24"/>
          <w:u w:val="none"/>
          <w:vertAlign w:val="baseline"/>
        </w:rPr>
        <w:t>“Carrier” does not include:</w:t>
      </w:r>
    </w:p>
    <w:p>
      <w:pPr>
        <w:keepNext w:val="0"/>
        <w:spacing w:before="120" w:after="0" w:line="300" w:lineRule="atLeast"/>
        <w:ind w:left="1440" w:right="0"/>
        <w:jc w:val="left"/>
      </w:pPr>
      <w:r>
        <w:rPr>
          <w:b/>
        </w:rPr>
        <w:t xml:space="preserve">(i)  </w:t>
      </w:r>
      <w:bookmarkStart w:id="14" w:name="Bookmark__c_2_i"/>
      <w:bookmarkEnd w:id="14"/>
      <w:r>
        <w:rPr>
          <w:rFonts w:ascii="times" w:eastAsia="times" w:hAnsi="times" w:cs="times"/>
          <w:b w:val="0"/>
          <w:i w:val="0"/>
          <w:strike w:val="0"/>
          <w:noProof w:val="0"/>
          <w:color w:val="000000"/>
          <w:position w:val="0"/>
          <w:sz w:val="24"/>
          <w:u w:val="none"/>
          <w:vertAlign w:val="baseline"/>
        </w:rPr>
        <w:t>a purchasing group or a risk retention group chartered and licensed in a state other than this State; or</w:t>
      </w:r>
    </w:p>
    <w:p>
      <w:pPr>
        <w:keepNext w:val="0"/>
        <w:spacing w:before="120" w:after="0" w:line="300" w:lineRule="atLeast"/>
        <w:ind w:left="1440" w:right="0"/>
        <w:jc w:val="left"/>
      </w:pPr>
      <w:r>
        <w:rPr>
          <w:b/>
        </w:rPr>
        <w:t xml:space="preserve">(ii)  </w:t>
      </w:r>
      <w:bookmarkStart w:id="15" w:name="Bookmark__c_2_ii"/>
      <w:bookmarkEnd w:id="15"/>
      <w:r>
        <w:rPr>
          <w:rFonts w:ascii="times" w:eastAsia="times" w:hAnsi="times" w:cs="times"/>
          <w:b w:val="0"/>
          <w:i w:val="0"/>
          <w:strike w:val="0"/>
          <w:noProof w:val="0"/>
          <w:color w:val="000000"/>
          <w:position w:val="0"/>
          <w:sz w:val="24"/>
          <w:u w:val="none"/>
          <w:vertAlign w:val="baseline"/>
        </w:rPr>
        <w:t>a person that is acting as an assuming insurer that is domiciled in another state or jurisdiction.</w:t>
      </w:r>
    </w:p>
    <w:p>
      <w:pPr>
        <w:keepNext w:val="0"/>
        <w:spacing w:before="120" w:after="0" w:line="300" w:lineRule="atLeast"/>
        <w:ind w:left="720" w:right="0"/>
        <w:jc w:val="left"/>
      </w:pPr>
      <w:r>
        <w:rPr>
          <w:b/>
        </w:rPr>
        <w:t xml:space="preserve">(d)  </w:t>
      </w:r>
      <w:bookmarkStart w:id="16" w:name="Bookmark__d"/>
      <w:bookmarkEnd w:id="16"/>
      <w:r>
        <w:rPr>
          <w:rFonts w:ascii="times" w:eastAsia="times" w:hAnsi="times" w:cs="times"/>
          <w:b w:val="0"/>
          <w:i w:val="0"/>
          <w:strike w:val="0"/>
          <w:noProof w:val="0"/>
          <w:color w:val="000000"/>
          <w:position w:val="0"/>
          <w:sz w:val="24"/>
          <w:u w:val="none"/>
          <w:vertAlign w:val="baseline"/>
        </w:rPr>
        <w:t>“Consumer” means an individual, including an applicant, a policyholder, an insured, a beneficiary, a claimant, and a certificate holder, who is a resident of the State and whose nonpublic information is in a carrier’s possession, custody, or control.</w:t>
      </w:r>
    </w:p>
    <w:p>
      <w:pPr>
        <w:spacing w:before="120" w:line="240" w:lineRule="atLeast"/>
        <w:ind w:left="720"/>
      </w:pPr>
      <w:r>
        <w:rPr>
          <w:b/>
        </w:rPr>
        <w:t xml:space="preserve">(e)  </w:t>
      </w:r>
      <w:bookmarkStart w:id="17" w:name="Bookmark__e"/>
      <w:bookmarkEnd w:id="17"/>
    </w:p>
    <w:p>
      <w:pPr>
        <w:keepNext w:val="0"/>
        <w:spacing w:before="120" w:after="0" w:line="300" w:lineRule="atLeast"/>
        <w:ind w:left="1080" w:right="0"/>
        <w:jc w:val="left"/>
      </w:pPr>
      <w:r>
        <w:rPr>
          <w:b/>
        </w:rPr>
        <w:t xml:space="preserve">(1)  </w:t>
      </w:r>
      <w:bookmarkStart w:id="18" w:name="Bookmark__e_1"/>
      <w:bookmarkEnd w:id="1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disruption or misuse of, an information system or nonpublic information stored on an information system.</w:t>
      </w:r>
    </w:p>
    <w:p>
      <w:pPr>
        <w:keepNext w:val="0"/>
        <w:spacing w:before="120" w:after="0" w:line="300" w:lineRule="atLeast"/>
        <w:ind w:left="1080" w:right="0"/>
        <w:jc w:val="left"/>
      </w:pPr>
      <w:r>
        <w:rPr>
          <w:b/>
        </w:rPr>
        <w:t xml:space="preserve">(2)  </w:t>
      </w:r>
      <w:bookmarkStart w:id="19" w:name="Bookmark__e_2"/>
      <w:bookmarkEnd w:id="1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w:t>
      </w:r>
    </w:p>
    <w:p>
      <w:pPr>
        <w:keepNext w:val="0"/>
        <w:spacing w:before="120" w:after="0" w:line="300" w:lineRule="atLeast"/>
        <w:ind w:left="1440" w:right="0"/>
        <w:jc w:val="left"/>
      </w:pPr>
      <w:r>
        <w:rPr>
          <w:b/>
        </w:rPr>
        <w:t xml:space="preserve">(i)  </w:t>
      </w:r>
      <w:bookmarkStart w:id="20" w:name="Bookmark__e_2_i"/>
      <w:bookmarkEnd w:id="20"/>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 or</w:t>
      </w:r>
    </w:p>
    <w:p>
      <w:pPr>
        <w:keepNext w:val="0"/>
        <w:spacing w:before="120" w:after="0" w:line="300" w:lineRule="atLeast"/>
        <w:ind w:left="1440" w:right="0"/>
        <w:jc w:val="left"/>
      </w:pPr>
      <w:r>
        <w:rPr>
          <w:b/>
        </w:rPr>
        <w:t xml:space="preserve">(ii)  </w:t>
      </w:r>
      <w:bookmarkStart w:id="21" w:name="Bookmark__e_2_ii"/>
      <w:bookmarkEnd w:id="21"/>
      <w:r>
        <w:rPr>
          <w:rFonts w:ascii="times" w:eastAsia="times" w:hAnsi="times" w:cs="times"/>
          <w:b w:val="0"/>
          <w:i w:val="0"/>
          <w:strike w:val="0"/>
          <w:noProof w:val="0"/>
          <w:color w:val="000000"/>
          <w:position w:val="0"/>
          <w:sz w:val="24"/>
          <w:u w:val="none"/>
          <w:vertAlign w:val="baseline"/>
        </w:rPr>
        <w:t>an event with regard to which the carrier has reasonably determined that the nonpublic information accessed by an unauthorized person has not been and will not be used or released and has been returned or destroyed.</w:t>
      </w:r>
    </w:p>
    <w:p>
      <w:pPr>
        <w:keepNext w:val="0"/>
        <w:spacing w:before="120" w:after="0" w:line="300" w:lineRule="atLeast"/>
        <w:ind w:left="720" w:right="0"/>
        <w:jc w:val="left"/>
      </w:pPr>
      <w:r>
        <w:rPr>
          <w:b/>
        </w:rPr>
        <w:t xml:space="preserve">(f)  </w:t>
      </w:r>
      <w:bookmarkStart w:id="22" w:name="Bookmark__f"/>
      <w:bookmarkEnd w:id="22"/>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720" w:right="0"/>
        <w:jc w:val="left"/>
      </w:pPr>
      <w:r>
        <w:rPr>
          <w:b/>
        </w:rPr>
        <w:t xml:space="preserve">(g)  </w:t>
      </w:r>
      <w:bookmarkStart w:id="23" w:name="Bookmark__g"/>
      <w:bookmarkEnd w:id="23"/>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carrier uses to access, collect, distribute, process, protect, store, use, transmit, dispose of, or otherwise handle nonpublic information.</w:t>
      </w:r>
    </w:p>
    <w:p>
      <w:pPr>
        <w:spacing w:before="120" w:line="240" w:lineRule="atLeast"/>
        <w:ind w:left="720"/>
      </w:pPr>
      <w:r>
        <w:rPr>
          <w:b/>
        </w:rPr>
        <w:t xml:space="preserve">(h)  </w:t>
      </w:r>
      <w:bookmarkStart w:id="24" w:name="Bookmark__h"/>
      <w:bookmarkEnd w:id="24"/>
    </w:p>
    <w:p>
      <w:pPr>
        <w:keepNext w:val="0"/>
        <w:spacing w:before="120" w:after="0" w:line="300" w:lineRule="atLeast"/>
        <w:ind w:left="1080" w:right="0"/>
        <w:jc w:val="left"/>
      </w:pPr>
      <w:r>
        <w:rPr>
          <w:b/>
        </w:rPr>
        <w:t xml:space="preserve">(1)  </w:t>
      </w:r>
      <w:bookmarkStart w:id="25" w:name="Bookmark__h_1"/>
      <w:bookmarkEnd w:id="25"/>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w:t>
      </w:r>
    </w:p>
    <w:p>
      <w:pPr>
        <w:keepNext w:val="0"/>
        <w:spacing w:before="120" w:after="0" w:line="300" w:lineRule="atLeast"/>
        <w:ind w:left="1080" w:right="0"/>
        <w:jc w:val="left"/>
      </w:pPr>
      <w:r>
        <w:rPr>
          <w:b/>
        </w:rPr>
        <w:t xml:space="preserve">(2)  </w:t>
      </w:r>
      <w:bookmarkStart w:id="26" w:name="Bookmark__h_2"/>
      <w:bookmarkEnd w:id="26"/>
      <w:r>
        <w:rPr>
          <w:rFonts w:ascii="times" w:eastAsia="times" w:hAnsi="times" w:cs="times"/>
          <w:b w:val="0"/>
          <w:i w:val="0"/>
          <w:strike w:val="0"/>
          <w:noProof w:val="0"/>
          <w:color w:val="000000"/>
          <w:position w:val="0"/>
          <w:sz w:val="24"/>
          <w:u w:val="none"/>
          <w:vertAlign w:val="baseline"/>
        </w:rPr>
        <w:t>“Information system” includes industrial or process control systems, telephone switching and private branch exchange systems, environmental control systems, and other specialized systems.</w:t>
      </w:r>
    </w:p>
    <w:p>
      <w:pPr>
        <w:keepNext w:val="0"/>
        <w:spacing w:before="120" w:after="0" w:line="300" w:lineRule="atLeast"/>
        <w:ind w:left="720" w:right="0"/>
        <w:jc w:val="left"/>
      </w:pPr>
      <w:r>
        <w:rPr>
          <w:b/>
        </w:rPr>
        <w:t xml:space="preserve">(i)  </w:t>
      </w:r>
      <w:bookmarkStart w:id="27" w:name="Bookmark__i"/>
      <w:bookmarkEnd w:id="27"/>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080" w:right="0"/>
        <w:jc w:val="left"/>
      </w:pPr>
      <w:r>
        <w:rPr>
          <w:b/>
        </w:rPr>
        <w:t xml:space="preserve">(1)  </w:t>
      </w:r>
      <w:bookmarkStart w:id="28" w:name="Bookmark__i_1"/>
      <w:bookmarkEnd w:id="28"/>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080" w:right="0"/>
        <w:jc w:val="left"/>
      </w:pPr>
      <w:r>
        <w:rPr>
          <w:b/>
        </w:rPr>
        <w:t xml:space="preserve">(2)  </w:t>
      </w:r>
      <w:bookmarkStart w:id="29" w:name="Bookmark__i_2"/>
      <w:bookmarkEnd w:id="29"/>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080" w:right="0"/>
        <w:jc w:val="left"/>
      </w:pPr>
      <w:r>
        <w:rPr>
          <w:b/>
        </w:rPr>
        <w:t xml:space="preserve">(3)  </w:t>
      </w:r>
      <w:bookmarkStart w:id="30" w:name="Bookmark__i_3"/>
      <w:bookmarkEnd w:id="30"/>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720" w:right="0"/>
        <w:jc w:val="left"/>
      </w:pPr>
      <w:r>
        <w:rPr>
          <w:b/>
        </w:rPr>
        <w:t xml:space="preserve">(j)  </w:t>
      </w:r>
      <w:bookmarkStart w:id="31" w:name="Bookmark__j"/>
      <w:bookmarkEnd w:id="31"/>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w:t>
      </w:r>
    </w:p>
    <w:p>
      <w:pPr>
        <w:keepNext w:val="0"/>
        <w:spacing w:before="120" w:after="0" w:line="300" w:lineRule="atLeast"/>
        <w:ind w:left="1080" w:right="0"/>
        <w:jc w:val="left"/>
      </w:pPr>
      <w:r>
        <w:rPr>
          <w:b/>
        </w:rPr>
        <w:t xml:space="preserve">(1)  </w:t>
      </w:r>
      <w:bookmarkStart w:id="32" w:name="Bookmark__j_1"/>
      <w:bookmarkEnd w:id="32"/>
      <w:r>
        <w:rPr>
          <w:rFonts w:ascii="times" w:eastAsia="times" w:hAnsi="times" w:cs="times"/>
          <w:b w:val="0"/>
          <w:i w:val="0"/>
          <w:strike w:val="0"/>
          <w:noProof w:val="0"/>
          <w:color w:val="000000"/>
          <w:position w:val="0"/>
          <w:sz w:val="24"/>
          <w:u w:val="none"/>
          <w:vertAlign w:val="baseline"/>
        </w:rPr>
        <w:t>business-related information of a carrier the tampering with which, or unauthorized disclosure, access, or use of which, would cause a material adverse impact to the business, operations, or security of the carrier;</w:t>
      </w:r>
    </w:p>
    <w:p>
      <w:pPr>
        <w:keepNext w:val="0"/>
        <w:spacing w:before="120" w:after="0" w:line="300" w:lineRule="atLeast"/>
        <w:ind w:left="1080" w:right="0"/>
        <w:jc w:val="left"/>
      </w:pPr>
      <w:r>
        <w:rPr>
          <w:b/>
        </w:rPr>
        <w:t xml:space="preserve">(2)  </w:t>
      </w:r>
      <w:bookmarkStart w:id="33" w:name="Bookmark__j_2"/>
      <w:bookmarkEnd w:id="33"/>
      <w:r>
        <w:rPr>
          <w:rFonts w:ascii="times" w:eastAsia="times" w:hAnsi="times" w:cs="times"/>
          <w:b w:val="0"/>
          <w:i w:val="0"/>
          <w:strike w:val="0"/>
          <w:noProof w:val="0"/>
          <w:color w:val="000000"/>
          <w:position w:val="0"/>
          <w:sz w:val="24"/>
          <w:u w:val="none"/>
          <w:vertAlign w:val="baseline"/>
        </w:rPr>
        <w:t>information concerning a consumer that, because of name, number, personal mark, or other identifier, can be used to identify the consumer, in combination with one or more of the following data elements:</w:t>
      </w:r>
    </w:p>
    <w:p>
      <w:pPr>
        <w:keepNext w:val="0"/>
        <w:spacing w:before="120" w:after="0" w:line="300" w:lineRule="atLeast"/>
        <w:ind w:left="1440" w:right="0"/>
        <w:jc w:val="left"/>
      </w:pPr>
      <w:r>
        <w:rPr>
          <w:b/>
        </w:rPr>
        <w:t xml:space="preserve">(i)  </w:t>
      </w:r>
      <w:bookmarkStart w:id="34" w:name="Bookmark__j_2_i"/>
      <w:bookmarkEnd w:id="34"/>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(ii)  </w:t>
      </w:r>
      <w:bookmarkStart w:id="35" w:name="Bookmark__j_2_ii"/>
      <w:bookmarkEnd w:id="35"/>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440" w:right="0"/>
        <w:jc w:val="left"/>
      </w:pPr>
      <w:r>
        <w:rPr>
          <w:b/>
        </w:rPr>
        <w:t xml:space="preserve">(iii)  </w:t>
      </w:r>
      <w:bookmarkStart w:id="36" w:name="Bookmark__j_2_iii"/>
      <w:bookmarkEnd w:id="36"/>
      <w:r>
        <w:rPr>
          <w:rFonts w:ascii="times" w:eastAsia="times" w:hAnsi="times" w:cs="times"/>
          <w:b w:val="0"/>
          <w:i w:val="0"/>
          <w:strike w:val="0"/>
          <w:noProof w:val="0"/>
          <w:color w:val="000000"/>
          <w:position w:val="0"/>
          <w:sz w:val="24"/>
          <w:u w:val="none"/>
          <w:vertAlign w:val="baseline"/>
        </w:rPr>
        <w:t>account, credit, or debit card number;</w:t>
      </w:r>
    </w:p>
    <w:p>
      <w:pPr>
        <w:keepNext w:val="0"/>
        <w:spacing w:before="120" w:after="0" w:line="300" w:lineRule="atLeast"/>
        <w:ind w:left="1440" w:right="0"/>
        <w:jc w:val="left"/>
      </w:pPr>
      <w:r>
        <w:rPr>
          <w:b/>
        </w:rPr>
        <w:t xml:space="preserve">(iv)  </w:t>
      </w:r>
      <w:bookmarkStart w:id="37" w:name="Bookmark__j_2_iv"/>
      <w:bookmarkEnd w:id="37"/>
      <w:r>
        <w:rPr>
          <w:rFonts w:ascii="times" w:eastAsia="times" w:hAnsi="times" w:cs="times"/>
          <w:b w:val="0"/>
          <w:i w:val="0"/>
          <w:strike w:val="0"/>
          <w:noProof w:val="0"/>
          <w:color w:val="000000"/>
          <w:position w:val="0"/>
          <w:sz w:val="24"/>
          <w:u w:val="none"/>
          <w:vertAlign w:val="baseline"/>
        </w:rPr>
        <w:t>a security code, an access code, or a password that would allow access to a consumer’s financial account; or</w:t>
      </w:r>
    </w:p>
    <w:p>
      <w:pPr>
        <w:keepNext w:val="0"/>
        <w:spacing w:before="120" w:after="0" w:line="300" w:lineRule="atLeast"/>
        <w:ind w:left="1440" w:right="0"/>
        <w:jc w:val="left"/>
      </w:pPr>
      <w:r>
        <w:rPr>
          <w:b/>
        </w:rPr>
        <w:t xml:space="preserve">(v)  </w:t>
      </w:r>
      <w:bookmarkStart w:id="38" w:name="Bookmark__j_2_v"/>
      <w:bookmarkEnd w:id="38"/>
      <w:r>
        <w:rPr>
          <w:rFonts w:ascii="times" w:eastAsia="times" w:hAnsi="times" w:cs="times"/>
          <w:b w:val="0"/>
          <w:i w:val="0"/>
          <w:strike w:val="0"/>
          <w:noProof w:val="0"/>
          <w:color w:val="000000"/>
          <w:position w:val="0"/>
          <w:sz w:val="24"/>
          <w:u w:val="none"/>
          <w:vertAlign w:val="baseline"/>
        </w:rPr>
        <w:t>biometric records; or</w:t>
      </w:r>
    </w:p>
    <w:p>
      <w:pPr>
        <w:keepNext w:val="0"/>
        <w:spacing w:before="120" w:after="0" w:line="300" w:lineRule="atLeast"/>
        <w:ind w:left="1080" w:right="0"/>
        <w:jc w:val="left"/>
      </w:pPr>
      <w:r>
        <w:rPr>
          <w:b/>
        </w:rPr>
        <w:t xml:space="preserve">(3)  </w:t>
      </w:r>
      <w:bookmarkStart w:id="39" w:name="Bookmark__j_3"/>
      <w:bookmarkEnd w:id="39"/>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 care provider or a consumer that can be used to identify a particular consumer and that relates to:</w:t>
      </w:r>
    </w:p>
    <w:p>
      <w:pPr>
        <w:keepNext w:val="0"/>
        <w:spacing w:before="120" w:after="0" w:line="300" w:lineRule="atLeast"/>
        <w:ind w:left="1440" w:right="0"/>
        <w:jc w:val="left"/>
      </w:pPr>
      <w:r>
        <w:rPr>
          <w:b/>
        </w:rPr>
        <w:t xml:space="preserve">(i)  </w:t>
      </w:r>
      <w:bookmarkStart w:id="40" w:name="Bookmark__j_3_i"/>
      <w:bookmarkEnd w:id="40"/>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 consumer or a member of the consumer’s family;</w:t>
      </w:r>
    </w:p>
    <w:p>
      <w:pPr>
        <w:keepNext w:val="0"/>
        <w:spacing w:before="120" w:after="0" w:line="300" w:lineRule="atLeast"/>
        <w:ind w:left="1440" w:right="0"/>
        <w:jc w:val="left"/>
      </w:pPr>
      <w:r>
        <w:rPr>
          <w:b/>
        </w:rPr>
        <w:t xml:space="preserve">(ii)  </w:t>
      </w:r>
      <w:bookmarkStart w:id="41" w:name="Bookmark__j_3_ii"/>
      <w:bookmarkEnd w:id="41"/>
      <w:r>
        <w:rPr>
          <w:rFonts w:ascii="times" w:eastAsia="times" w:hAnsi="times" w:cs="times"/>
          <w:b w:val="0"/>
          <w:i w:val="0"/>
          <w:strike w:val="0"/>
          <w:noProof w:val="0"/>
          <w:color w:val="000000"/>
          <w:position w:val="0"/>
          <w:sz w:val="24"/>
          <w:u w:val="none"/>
          <w:vertAlign w:val="baseline"/>
        </w:rPr>
        <w:t>the provision of health care to a consumer; or</w:t>
      </w:r>
    </w:p>
    <w:p>
      <w:pPr>
        <w:keepNext w:val="0"/>
        <w:spacing w:before="120" w:after="0" w:line="300" w:lineRule="atLeast"/>
        <w:ind w:left="1440" w:right="0"/>
        <w:jc w:val="left"/>
      </w:pPr>
      <w:r>
        <w:rPr>
          <w:b/>
        </w:rPr>
        <w:t xml:space="preserve">(iii)  </w:t>
      </w:r>
      <w:bookmarkStart w:id="42" w:name="Bookmark__j_3_iii"/>
      <w:bookmarkEnd w:id="42"/>
      <w:r>
        <w:rPr>
          <w:rFonts w:ascii="times" w:eastAsia="times" w:hAnsi="times" w:cs="times"/>
          <w:b w:val="0"/>
          <w:i w:val="0"/>
          <w:strike w:val="0"/>
          <w:noProof w:val="0"/>
          <w:color w:val="000000"/>
          <w:position w:val="0"/>
          <w:sz w:val="24"/>
          <w:u w:val="none"/>
          <w:vertAlign w:val="baseline"/>
        </w:rPr>
        <w:t>payment for the provision of health care to a consumer.</w:t>
      </w:r>
    </w:p>
    <w:p>
      <w:pPr>
        <w:keepNext w:val="0"/>
        <w:spacing w:before="120" w:after="0" w:line="300" w:lineRule="atLeast"/>
        <w:ind w:left="720" w:right="0"/>
        <w:jc w:val="left"/>
      </w:pPr>
      <w:r>
        <w:rPr>
          <w:b/>
        </w:rPr>
        <w:t xml:space="preserve">(k)  </w:t>
      </w:r>
      <w:bookmarkStart w:id="43" w:name="Bookmark__k"/>
      <w:bookmarkEnd w:id="43"/>
      <w:r>
        <w:rPr>
          <w:rFonts w:ascii="times" w:eastAsia="times" w:hAnsi="times" w:cs="times"/>
          <w:b w:val="0"/>
          <w:i w:val="0"/>
          <w:strike w:val="0"/>
          <w:noProof w:val="0"/>
          <w:color w:val="000000"/>
          <w:position w:val="0"/>
          <w:sz w:val="24"/>
          <w:u w:val="none"/>
          <w:vertAlign w:val="baseline"/>
        </w:rPr>
        <w:t>“Publicly available information” means information that a carrier has a reasonable basis to believe is lawfully made available to the general public from:</w:t>
      </w:r>
    </w:p>
    <w:p>
      <w:pPr>
        <w:spacing w:before="120" w:line="240" w:lineRule="atLeast"/>
        <w:ind w:left="1080"/>
      </w:pPr>
      <w:r>
        <w:rPr>
          <w:b/>
        </w:rPr>
        <w:t xml:space="preserve">(1)  </w:t>
      </w:r>
      <w:bookmarkStart w:id="44" w:name="Bookmark__k_1"/>
      <w:bookmarkEnd w:id="44"/>
    </w:p>
    <w:p>
      <w:pPr>
        <w:keepNext w:val="0"/>
        <w:spacing w:before="120" w:after="0" w:line="300" w:lineRule="atLeast"/>
        <w:ind w:left="1440" w:right="0"/>
        <w:jc w:val="left"/>
      </w:pPr>
      <w:r>
        <w:rPr>
          <w:b/>
        </w:rPr>
        <w:t xml:space="preserve">(i)  </w:t>
      </w:r>
      <w:bookmarkStart w:id="45" w:name="Bookmark__k_1_i"/>
      <w:bookmarkEnd w:id="45"/>
      <w:r>
        <w:rPr>
          <w:rFonts w:ascii="times" w:eastAsia="times" w:hAnsi="times" w:cs="times"/>
          <w:b w:val="0"/>
          <w:i w:val="0"/>
          <w:strike w:val="0"/>
          <w:noProof w:val="0"/>
          <w:color w:val="000000"/>
          <w:position w:val="0"/>
          <w:sz w:val="24"/>
          <w:u w:val="none"/>
          <w:vertAlign w:val="baseline"/>
        </w:rPr>
        <w:t>federal, State, or local government records;</w:t>
      </w:r>
    </w:p>
    <w:p>
      <w:pPr>
        <w:keepNext w:val="0"/>
        <w:spacing w:before="120" w:after="0" w:line="300" w:lineRule="atLeast"/>
        <w:ind w:left="1440" w:right="0"/>
        <w:jc w:val="left"/>
      </w:pPr>
      <w:r>
        <w:rPr>
          <w:b/>
        </w:rPr>
        <w:t xml:space="preserve">(ii)  </w:t>
      </w:r>
      <w:bookmarkStart w:id="46" w:name="Bookmark__k_1_ii"/>
      <w:bookmarkEnd w:id="46"/>
      <w:r>
        <w:rPr>
          <w:rFonts w:ascii="times" w:eastAsia="times" w:hAnsi="times" w:cs="times"/>
          <w:b w:val="0"/>
          <w:i w:val="0"/>
          <w:strike w:val="0"/>
          <w:noProof w:val="0"/>
          <w:color w:val="000000"/>
          <w:position w:val="0"/>
          <w:sz w:val="24"/>
          <w:u w:val="none"/>
          <w:vertAlign w:val="baseline"/>
        </w:rPr>
        <w:t>widely distributed media; or</w:t>
      </w:r>
    </w:p>
    <w:p>
      <w:pPr>
        <w:keepNext w:val="0"/>
        <w:spacing w:before="120" w:after="0" w:line="300" w:lineRule="atLeast"/>
        <w:ind w:left="1440" w:right="0"/>
        <w:jc w:val="left"/>
      </w:pPr>
      <w:r>
        <w:rPr>
          <w:b/>
        </w:rPr>
        <w:t xml:space="preserve">(iii)  </w:t>
      </w:r>
      <w:bookmarkStart w:id="47" w:name="Bookmark__k_1_iii"/>
      <w:bookmarkEnd w:id="47"/>
      <w:r>
        <w:rPr>
          <w:rFonts w:ascii="times" w:eastAsia="times" w:hAnsi="times" w:cs="times"/>
          <w:b w:val="0"/>
          <w:i w:val="0"/>
          <w:strike w:val="0"/>
          <w:noProof w:val="0"/>
          <w:color w:val="000000"/>
          <w:position w:val="0"/>
          <w:sz w:val="24"/>
          <w:u w:val="none"/>
          <w:vertAlign w:val="baseline"/>
        </w:rPr>
        <w:t>disclosures to the general public that are required to be made by federal, State, or local law; and</w:t>
      </w:r>
    </w:p>
    <w:p>
      <w:pPr>
        <w:keepNext w:val="0"/>
        <w:spacing w:before="120" w:after="0" w:line="300" w:lineRule="atLeast"/>
        <w:ind w:left="1080" w:right="0"/>
        <w:jc w:val="left"/>
      </w:pPr>
      <w:r>
        <w:rPr>
          <w:b/>
        </w:rPr>
        <w:t xml:space="preserve">(2)  </w:t>
      </w:r>
      <w:bookmarkStart w:id="48" w:name="Bookmark__k_2"/>
      <w:bookmarkEnd w:id="48"/>
      <w:r>
        <w:rPr>
          <w:rFonts w:ascii="times" w:eastAsia="times" w:hAnsi="times" w:cs="times"/>
          <w:b w:val="0"/>
          <w:i w:val="0"/>
          <w:strike w:val="0"/>
          <w:noProof w:val="0"/>
          <w:color w:val="000000"/>
          <w:position w:val="0"/>
          <w:sz w:val="24"/>
          <w:u w:val="none"/>
          <w:vertAlign w:val="baseline"/>
        </w:rPr>
        <w:t>steps taken by the carrier to determine:</w:t>
      </w:r>
    </w:p>
    <w:p>
      <w:pPr>
        <w:keepNext w:val="0"/>
        <w:spacing w:before="120" w:after="0" w:line="300" w:lineRule="atLeast"/>
        <w:ind w:left="1440" w:right="0"/>
        <w:jc w:val="left"/>
      </w:pPr>
      <w:r>
        <w:rPr>
          <w:b/>
        </w:rPr>
        <w:t xml:space="preserve">(i)  </w:t>
      </w:r>
      <w:bookmarkStart w:id="49" w:name="Bookmark__k_2_i"/>
      <w:bookmarkEnd w:id="49"/>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440" w:right="0"/>
        <w:jc w:val="left"/>
      </w:pPr>
      <w:r>
        <w:rPr>
          <w:b/>
        </w:rPr>
        <w:t xml:space="preserve">(ii)  </w:t>
      </w:r>
      <w:bookmarkStart w:id="50" w:name="Bookmark__k_2_ii"/>
      <w:bookmarkEnd w:id="50"/>
      <w:r>
        <w:rPr>
          <w:rFonts w:ascii="times" w:eastAsia="times" w:hAnsi="times" w:cs="times"/>
          <w:b w:val="0"/>
          <w:i w:val="0"/>
          <w:strike w:val="0"/>
          <w:noProof w:val="0"/>
          <w:color w:val="000000"/>
          <w:position w:val="0"/>
          <w:sz w:val="24"/>
          <w:u w:val="none"/>
          <w:vertAlign w:val="baseline"/>
        </w:rPr>
        <w:t>whether a consumer can direct that the information be made unavailable to the general public and, if so, that the consumer has not done so.</w:t>
      </w:r>
    </w:p>
    <w:p>
      <w:pPr>
        <w:keepNext w:val="0"/>
        <w:spacing w:before="120" w:after="0" w:line="300" w:lineRule="atLeast"/>
        <w:ind w:left="720" w:right="0"/>
        <w:jc w:val="left"/>
      </w:pPr>
      <w:r>
        <w:rPr>
          <w:b/>
        </w:rPr>
        <w:t xml:space="preserve">(l)  </w:t>
      </w:r>
      <w:bookmarkStart w:id="51" w:name="Bookmark__l"/>
      <w:bookmarkEnd w:id="51"/>
      <w:r>
        <w:rPr>
          <w:rFonts w:ascii="times" w:eastAsia="times" w:hAnsi="times" w:cs="times"/>
          <w:b w:val="0"/>
          <w:i w:val="0"/>
          <w:strike w:val="0"/>
          <w:noProof w:val="0"/>
          <w:color w:val="000000"/>
          <w:position w:val="0"/>
          <w:sz w:val="24"/>
          <w:u w:val="none"/>
          <w:vertAlign w:val="baseline"/>
        </w:rPr>
        <w:t>“Risk assessment” means the risk assessment that a carrier is required to conduct under § 33-103(c) of this title.</w:t>
      </w:r>
    </w:p>
    <w:p>
      <w:pPr>
        <w:keepNext w:val="0"/>
        <w:spacing w:before="120" w:after="0" w:line="300" w:lineRule="atLeast"/>
        <w:ind w:left="720" w:right="0"/>
        <w:jc w:val="left"/>
      </w:pPr>
      <w:r>
        <w:rPr>
          <w:b/>
        </w:rPr>
        <w:t xml:space="preserve">(m)  </w:t>
      </w:r>
      <w:bookmarkStart w:id="52" w:name="Bookmark__m"/>
      <w:bookmarkEnd w:id="52"/>
      <w:r>
        <w:rPr>
          <w:rFonts w:ascii="times" w:eastAsia="times" w:hAnsi="times" w:cs="times"/>
          <w:b w:val="0"/>
          <w:i w:val="0"/>
          <w:strike w:val="0"/>
          <w:noProof w:val="0"/>
          <w:color w:val="000000"/>
          <w:position w:val="0"/>
          <w:sz w:val="24"/>
          <w:u w:val="none"/>
          <w:vertAlign w:val="baseline"/>
        </w:rPr>
        <w:t>“Third-party service provider” means a person, other than a carrier, that contracts with a carrier to maintain, process, store, or is otherwise authorized access to nonpublic information through its provision of services to the carrier.</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231,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Insurance Code Ann. § 33-101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Insurance Code Ann. § 33-101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67-KT23-CGX8-014M-00000-00">
    <vt:lpwstr>Doc::/shared/document|contextualFeaturePermID::1516831</vt:lpwstr>
  </property>
  <property fmtid="{D5CDD505-2E9C-101B-9397-08002B2CF9AE}" pid="5" name="UserPermID">
    <vt:lpwstr>urn:user:PA186163333</vt:lpwstr>
  </property>
</Properties>
</file>