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MCLS § 15.232</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This document is current through Act 35 of the 2024 Regular Legislative Session and E.R.O. 2024-1</w:t>
      </w:r>
    </w:p>
    <w:p>
      <w:pPr>
        <w:keepNext w:val="0"/>
        <w:spacing w:after="0" w:line="240" w:lineRule="atLeast"/>
        <w:ind w:right="0"/>
        <w:jc w:val="both"/>
      </w:pPr>
      <w:bookmarkStart w:id="0" w:name="Bookmark_7"/>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Michigan Compiled Laws Service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15 Public Officers And Employees (§§ 15.1 — 15.715)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Act 442 of 1976 (§§ 15.231 — 15.246) </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15.232. Definitions.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Sec. 2.</w:t>
      </w:r>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As used in this act:</w:t>
      </w:r>
    </w:p>
    <w:p>
      <w:pPr>
        <w:keepNext w:val="0"/>
        <w:spacing w:before="120" w:after="0" w:line="300" w:lineRule="atLeast"/>
        <w:ind w:left="108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assessment” means an investigation undertaken by a person, governmental body, or other entity to identify vulnerabilities in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plans.</w:t>
      </w:r>
    </w:p>
    <w:p>
      <w:pPr>
        <w:keepNext w:val="0"/>
        <w:spacing w:before="120" w:after="0" w:line="300" w:lineRule="atLeast"/>
        <w:ind w:left="108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incident” includes, but is not limited to, a computer network intrusion or attempted intrusion; a breach of primary computer network controls; unauthorized access to programs, data, or information contained in a computer system; or actions by a third party that materially affect component performance or, because of impact to component systems, prevent normal computer system activities.</w:t>
      </w:r>
    </w:p>
    <w:p>
      <w:pPr>
        <w:keepNext w:val="0"/>
        <w:spacing w:before="120" w:after="0" w:line="300" w:lineRule="atLeast"/>
        <w:ind w:left="1080" w:right="0"/>
        <w:jc w:val="left"/>
      </w:pPr>
      <w:r>
        <w:rPr>
          <w:b/>
        </w:rPr>
        <w:t xml:space="preserve">(c)  </w:t>
      </w:r>
      <w:bookmarkStart w:id="3" w:name="Bookmark__c"/>
      <w:bookmarkEnd w:id="3"/>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plan” includes, but is not limited to, information about a person’s information systems, network security, encryption, network mapping, access control, passwords, authentication practices, computer hardware or software, or response to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incidents.</w:t>
      </w:r>
    </w:p>
    <w:p>
      <w:pPr>
        <w:keepNext w:val="0"/>
        <w:spacing w:before="120" w:after="0" w:line="300" w:lineRule="atLeast"/>
        <w:ind w:left="1080" w:right="0"/>
        <w:jc w:val="left"/>
      </w:pPr>
      <w:r>
        <w:rPr>
          <w:b/>
        </w:rPr>
        <w:t xml:space="preserve">(d)  </w:t>
      </w:r>
      <w:bookmarkStart w:id="4" w:name="Bookmark__d"/>
      <w:bookmarkEnd w:id="4"/>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vulnerability” means a deficiency within computer hardware or software, or within a computer network or information system, that could be exploited by unauthorized parties for use against an individual computer user or a computer network or information system.</w:t>
      </w:r>
    </w:p>
    <w:p>
      <w:pPr>
        <w:keepNext w:val="0"/>
        <w:spacing w:before="120" w:after="0" w:line="300" w:lineRule="atLeast"/>
        <w:ind w:left="1080" w:right="0"/>
        <w:jc w:val="left"/>
      </w:pPr>
      <w:r>
        <w:rPr>
          <w:b/>
        </w:rPr>
        <w:t xml:space="preserve">(e)  </w:t>
      </w:r>
      <w:bookmarkStart w:id="5" w:name="Bookmark__e"/>
      <w:bookmarkEnd w:id="5"/>
      <w:r>
        <w:rPr>
          <w:rFonts w:ascii="times" w:eastAsia="times" w:hAnsi="times" w:cs="times"/>
          <w:b w:val="0"/>
          <w:i w:val="0"/>
          <w:strike w:val="0"/>
          <w:noProof w:val="0"/>
          <w:color w:val="000000"/>
          <w:position w:val="0"/>
          <w:sz w:val="24"/>
          <w:u w:val="none"/>
          <w:vertAlign w:val="baseline"/>
        </w:rPr>
        <w:t>“Field name” means the label or identification of an element of a computer database that contains a specific item of information, and includes but is not limited to a subject heading such as a column header, data dictionary, or record layout.</w:t>
      </w:r>
    </w:p>
    <w:p>
      <w:pPr>
        <w:keepNext w:val="0"/>
        <w:spacing w:before="120" w:after="0" w:line="300" w:lineRule="atLeast"/>
        <w:ind w:left="1080" w:right="0"/>
        <w:jc w:val="left"/>
      </w:pPr>
      <w:r>
        <w:rPr>
          <w:b/>
        </w:rPr>
        <w:t xml:space="preserve">(f)  </w:t>
      </w:r>
      <w:bookmarkStart w:id="6" w:name="Bookmark__f"/>
      <w:bookmarkEnd w:id="6"/>
      <w:r>
        <w:rPr>
          <w:rFonts w:ascii="times" w:eastAsia="times" w:hAnsi="times" w:cs="times"/>
          <w:b w:val="0"/>
          <w:i w:val="0"/>
          <w:strike w:val="0"/>
          <w:noProof w:val="0"/>
          <w:color w:val="000000"/>
          <w:position w:val="0"/>
          <w:sz w:val="24"/>
          <w:u w:val="none"/>
          <w:vertAlign w:val="baseline"/>
        </w:rPr>
        <w:t>“FOIA coordinator” means either of the following:</w:t>
      </w:r>
    </w:p>
    <w:p>
      <w:pPr>
        <w:keepNext w:val="0"/>
        <w:spacing w:before="120" w:after="0" w:line="300" w:lineRule="atLeast"/>
        <w:ind w:left="1440" w:right="0"/>
        <w:jc w:val="left"/>
      </w:pPr>
      <w:r>
        <w:rPr>
          <w:b/>
        </w:rPr>
        <w:t xml:space="preserve">(i)  </w:t>
      </w:r>
      <w:bookmarkStart w:id="7" w:name="Bookmark__f_i"/>
      <w:bookmarkEnd w:id="7"/>
      <w:r>
        <w:rPr>
          <w:rFonts w:ascii="times" w:eastAsia="times" w:hAnsi="times" w:cs="times"/>
          <w:b w:val="0"/>
          <w:i w:val="0"/>
          <w:strike w:val="0"/>
          <w:noProof w:val="0"/>
          <w:color w:val="000000"/>
          <w:position w:val="0"/>
          <w:sz w:val="24"/>
          <w:u w:val="none"/>
          <w:vertAlign w:val="baseline"/>
        </w:rPr>
        <w:t>An individual who is a public body.</w:t>
      </w:r>
    </w:p>
    <w:p>
      <w:pPr>
        <w:keepNext w:val="0"/>
        <w:spacing w:before="120" w:after="0" w:line="300" w:lineRule="atLeast"/>
        <w:ind w:left="1440" w:right="0"/>
        <w:jc w:val="left"/>
      </w:pPr>
      <w:r>
        <w:rPr>
          <w:b/>
        </w:rPr>
        <w:t xml:space="preserve">(ii)  </w:t>
      </w:r>
      <w:bookmarkStart w:id="8" w:name="Bookmark__f_ii"/>
      <w:bookmarkEnd w:id="8"/>
      <w:r>
        <w:rPr>
          <w:rFonts w:ascii="times" w:eastAsia="times" w:hAnsi="times" w:cs="times"/>
          <w:b w:val="0"/>
          <w:i w:val="0"/>
          <w:strike w:val="0"/>
          <w:noProof w:val="0"/>
          <w:color w:val="000000"/>
          <w:position w:val="0"/>
          <w:sz w:val="24"/>
          <w:u w:val="none"/>
          <w:vertAlign w:val="baseline"/>
        </w:rPr>
        <w:t>An individual designated by a public body in accordance with section 6 to accept and process requests for public records under this act.</w:t>
      </w:r>
    </w:p>
    <w:p>
      <w:pPr>
        <w:keepNext w:val="0"/>
        <w:spacing w:before="120" w:after="0" w:line="300" w:lineRule="atLeast"/>
        <w:ind w:left="1080" w:right="0"/>
        <w:jc w:val="left"/>
      </w:pPr>
      <w:r>
        <w:rPr>
          <w:b/>
        </w:rPr>
        <w:t xml:space="preserve">(g)  </w:t>
      </w:r>
      <w:bookmarkStart w:id="9" w:name="Bookmark__g"/>
      <w:bookmarkEnd w:id="9"/>
      <w:r>
        <w:rPr>
          <w:rFonts w:ascii="times" w:eastAsia="times" w:hAnsi="times" w:cs="times"/>
          <w:b w:val="0"/>
          <w:i w:val="0"/>
          <w:strike w:val="0"/>
          <w:noProof w:val="0"/>
          <w:color w:val="000000"/>
          <w:position w:val="0"/>
          <w:sz w:val="24"/>
          <w:u w:val="none"/>
          <w:vertAlign w:val="baseline"/>
        </w:rPr>
        <w:t>“Person” means an individual, corporation, limited liability company, partnership, firm, organization, association, governmental entity, or other legal entity. Person does not include an individual serving a sentence of imprisonment in a state or county correctional facility in this state or any other state, or in a federal correctional facility.</w:t>
      </w:r>
    </w:p>
    <w:p>
      <w:pPr>
        <w:keepNext w:val="0"/>
        <w:spacing w:before="120" w:after="0" w:line="300" w:lineRule="atLeast"/>
        <w:ind w:left="1080" w:right="0"/>
        <w:jc w:val="left"/>
      </w:pPr>
      <w:r>
        <w:rPr>
          <w:b/>
        </w:rPr>
        <w:t xml:space="preserve">(h)  </w:t>
      </w:r>
      <w:bookmarkStart w:id="10" w:name="Bookmark__h"/>
      <w:bookmarkEnd w:id="10"/>
      <w:r>
        <w:rPr>
          <w:rFonts w:ascii="times" w:eastAsia="times" w:hAnsi="times" w:cs="times"/>
          <w:b w:val="0"/>
          <w:i w:val="0"/>
          <w:strike w:val="0"/>
          <w:noProof w:val="0"/>
          <w:color w:val="000000"/>
          <w:position w:val="0"/>
          <w:sz w:val="24"/>
          <w:u w:val="none"/>
          <w:vertAlign w:val="baseline"/>
        </w:rPr>
        <w:t>“Public body” means any of the following:</w:t>
      </w:r>
    </w:p>
    <w:p>
      <w:pPr>
        <w:keepNext w:val="0"/>
        <w:spacing w:before="120" w:after="0" w:line="300" w:lineRule="atLeast"/>
        <w:ind w:left="1440" w:right="0"/>
        <w:jc w:val="left"/>
      </w:pPr>
      <w:r>
        <w:rPr>
          <w:b/>
        </w:rPr>
        <w:t xml:space="preserve">(i)  </w:t>
      </w:r>
      <w:bookmarkStart w:id="11" w:name="Bookmark__h_i"/>
      <w:bookmarkEnd w:id="11"/>
      <w:r>
        <w:rPr>
          <w:rFonts w:ascii="times" w:eastAsia="times" w:hAnsi="times" w:cs="times"/>
          <w:b w:val="0"/>
          <w:i w:val="0"/>
          <w:strike w:val="0"/>
          <w:noProof w:val="0"/>
          <w:color w:val="000000"/>
          <w:position w:val="0"/>
          <w:sz w:val="24"/>
          <w:u w:val="none"/>
          <w:vertAlign w:val="baseline"/>
        </w:rPr>
        <w:t>A state officer, employee, agency, department, division, bureau, board, commission, council, authority, or other body in the executive branch of the state government, but does not include the governor or lieutenant governor, the executive office of the governor or lieutenant governor, or employees thereof.</w:t>
      </w:r>
    </w:p>
    <w:p>
      <w:pPr>
        <w:keepNext w:val="0"/>
        <w:spacing w:before="120" w:after="0" w:line="300" w:lineRule="atLeast"/>
        <w:ind w:left="1440" w:right="0"/>
        <w:jc w:val="left"/>
      </w:pPr>
      <w:r>
        <w:rPr>
          <w:b/>
        </w:rPr>
        <w:t xml:space="preserve">(ii)  </w:t>
      </w:r>
      <w:bookmarkStart w:id="12" w:name="Bookmark__h_ii"/>
      <w:bookmarkEnd w:id="12"/>
      <w:r>
        <w:rPr>
          <w:rFonts w:ascii="times" w:eastAsia="times" w:hAnsi="times" w:cs="times"/>
          <w:b w:val="0"/>
          <w:i w:val="0"/>
          <w:strike w:val="0"/>
          <w:noProof w:val="0"/>
          <w:color w:val="000000"/>
          <w:position w:val="0"/>
          <w:sz w:val="24"/>
          <w:u w:val="none"/>
          <w:vertAlign w:val="baseline"/>
        </w:rPr>
        <w:t>An agency, board, commission, or council in the legislative branch of the state government.</w:t>
      </w:r>
    </w:p>
    <w:p>
      <w:pPr>
        <w:keepNext w:val="0"/>
        <w:spacing w:before="120" w:after="0" w:line="300" w:lineRule="atLeast"/>
        <w:ind w:left="1440" w:right="0"/>
        <w:jc w:val="left"/>
      </w:pPr>
      <w:r>
        <w:rPr>
          <w:b/>
        </w:rPr>
        <w:t xml:space="preserve">(iii)  </w:t>
      </w:r>
      <w:bookmarkStart w:id="13" w:name="Bookmark__h_iii"/>
      <w:bookmarkEnd w:id="13"/>
      <w:r>
        <w:rPr>
          <w:rFonts w:ascii="times" w:eastAsia="times" w:hAnsi="times" w:cs="times"/>
          <w:b w:val="0"/>
          <w:i w:val="0"/>
          <w:strike w:val="0"/>
          <w:noProof w:val="0"/>
          <w:color w:val="000000"/>
          <w:position w:val="0"/>
          <w:sz w:val="24"/>
          <w:u w:val="none"/>
          <w:vertAlign w:val="baseline"/>
        </w:rPr>
        <w:t>A county, city, township, village, intercounty, intercity, or regional governing body, council, school district, special district, or municipal corporation, or a board, department, commission, council, or agency thereof.</w:t>
      </w:r>
    </w:p>
    <w:p>
      <w:pPr>
        <w:keepNext w:val="0"/>
        <w:spacing w:before="120" w:after="0" w:line="300" w:lineRule="atLeast"/>
        <w:ind w:left="1440" w:right="0"/>
        <w:jc w:val="left"/>
      </w:pPr>
      <w:r>
        <w:rPr>
          <w:b/>
        </w:rPr>
        <w:t xml:space="preserve">(iv)  </w:t>
      </w:r>
      <w:bookmarkStart w:id="14" w:name="Bookmark__h_iv"/>
      <w:bookmarkEnd w:id="14"/>
      <w:r>
        <w:rPr>
          <w:rFonts w:ascii="times" w:eastAsia="times" w:hAnsi="times" w:cs="times"/>
          <w:b w:val="0"/>
          <w:i w:val="0"/>
          <w:strike w:val="0"/>
          <w:noProof w:val="0"/>
          <w:color w:val="000000"/>
          <w:position w:val="0"/>
          <w:sz w:val="24"/>
          <w:u w:val="none"/>
          <w:vertAlign w:val="baseline"/>
        </w:rPr>
        <w:t>Any other body that is created by state or local authority or is primarily funded by or through state or local authority, except that the judiciary, including the office of the county clerk and its employees when acting in the capacity of clerk to the circuit court, is not included in the definition of public body.</w:t>
      </w:r>
    </w:p>
    <w:p>
      <w:pPr>
        <w:keepNext w:val="0"/>
        <w:spacing w:before="120" w:after="0" w:line="300" w:lineRule="atLeast"/>
        <w:ind w:left="1080" w:right="0"/>
        <w:jc w:val="left"/>
      </w:pPr>
      <w:r>
        <w:rPr>
          <w:b/>
        </w:rPr>
        <w:t xml:space="preserve">(i)  </w:t>
      </w:r>
      <w:bookmarkStart w:id="15" w:name="Bookmark__i"/>
      <w:bookmarkEnd w:id="15"/>
      <w:r>
        <w:rPr>
          <w:rFonts w:ascii="times" w:eastAsia="times" w:hAnsi="times" w:cs="times"/>
          <w:b w:val="0"/>
          <w:i w:val="0"/>
          <w:strike w:val="0"/>
          <w:noProof w:val="0"/>
          <w:color w:val="000000"/>
          <w:position w:val="0"/>
          <w:sz w:val="24"/>
          <w:u w:val="none"/>
          <w:vertAlign w:val="baseline"/>
        </w:rPr>
        <w:t>“Public record” means a writing prepared, owned, used, in the possession of, or retained by a public body in the performance of an official function, from the time it is created. Public record does not include computer software. This act separates public records into the following 2 classes:</w:t>
      </w:r>
    </w:p>
    <w:p>
      <w:pPr>
        <w:keepNext w:val="0"/>
        <w:spacing w:before="120" w:after="0" w:line="300" w:lineRule="atLeast"/>
        <w:ind w:left="1440" w:right="0"/>
        <w:jc w:val="left"/>
      </w:pPr>
      <w:r>
        <w:rPr>
          <w:b/>
        </w:rPr>
        <w:t xml:space="preserve">(i)  </w:t>
      </w:r>
      <w:bookmarkStart w:id="16" w:name="Bookmark__i_i"/>
      <w:bookmarkEnd w:id="16"/>
      <w:r>
        <w:rPr>
          <w:rFonts w:ascii="times" w:eastAsia="times" w:hAnsi="times" w:cs="times"/>
          <w:b w:val="0"/>
          <w:i w:val="0"/>
          <w:strike w:val="0"/>
          <w:noProof w:val="0"/>
          <w:color w:val="000000"/>
          <w:position w:val="0"/>
          <w:sz w:val="24"/>
          <w:u w:val="none"/>
          <w:vertAlign w:val="baseline"/>
        </w:rPr>
        <w:t>Those that are exempt from disclosure under section 13.</w:t>
      </w:r>
    </w:p>
    <w:p>
      <w:pPr>
        <w:keepNext w:val="0"/>
        <w:spacing w:before="120" w:after="0" w:line="300" w:lineRule="atLeast"/>
        <w:ind w:left="1440" w:right="0"/>
        <w:jc w:val="left"/>
      </w:pPr>
      <w:r>
        <w:rPr>
          <w:b/>
        </w:rPr>
        <w:t xml:space="preserve">(ii)  </w:t>
      </w:r>
      <w:bookmarkStart w:id="17" w:name="Bookmark__i_ii"/>
      <w:bookmarkEnd w:id="17"/>
      <w:r>
        <w:rPr>
          <w:rFonts w:ascii="times" w:eastAsia="times" w:hAnsi="times" w:cs="times"/>
          <w:b w:val="0"/>
          <w:i w:val="0"/>
          <w:strike w:val="0"/>
          <w:noProof w:val="0"/>
          <w:color w:val="000000"/>
          <w:position w:val="0"/>
          <w:sz w:val="24"/>
          <w:u w:val="none"/>
          <w:vertAlign w:val="baseline"/>
        </w:rPr>
        <w:t>All public records that are not exempt from disclosure under section 13 and that are subject to disclosure under this act.</w:t>
      </w:r>
    </w:p>
    <w:p>
      <w:pPr>
        <w:keepNext w:val="0"/>
        <w:spacing w:before="120" w:after="0" w:line="300" w:lineRule="atLeast"/>
        <w:ind w:left="1080" w:right="0"/>
        <w:jc w:val="left"/>
      </w:pPr>
      <w:r>
        <w:rPr>
          <w:b/>
        </w:rPr>
        <w:t xml:space="preserve">(j)  </w:t>
      </w:r>
      <w:bookmarkStart w:id="18" w:name="Bookmark__j"/>
      <w:bookmarkEnd w:id="18"/>
      <w:r>
        <w:rPr>
          <w:rFonts w:ascii="times" w:eastAsia="times" w:hAnsi="times" w:cs="times"/>
          <w:b w:val="0"/>
          <w:i w:val="0"/>
          <w:strike w:val="0"/>
          <w:noProof w:val="0"/>
          <w:color w:val="000000"/>
          <w:position w:val="0"/>
          <w:sz w:val="24"/>
          <w:u w:val="none"/>
          <w:vertAlign w:val="baseline"/>
        </w:rPr>
        <w:t>“Software” means a set of statements or instructions that when incorporated in a machine usable medium is capable of causing a machine or device having information processing capabilities to indicate, perform, or achieve a particular function, task, or result. Software does not include computer-stored information or data, or a field name if disclosure of that field name does not violate a software license.</w:t>
      </w:r>
    </w:p>
    <w:p>
      <w:pPr>
        <w:keepNext w:val="0"/>
        <w:spacing w:before="120" w:after="0" w:line="300" w:lineRule="atLeast"/>
        <w:ind w:left="1080" w:right="0"/>
        <w:jc w:val="left"/>
      </w:pPr>
      <w:r>
        <w:rPr>
          <w:b/>
        </w:rPr>
        <w:t xml:space="preserve">(k)  </w:t>
      </w:r>
      <w:bookmarkStart w:id="19" w:name="Bookmark__k"/>
      <w:bookmarkEnd w:id="19"/>
      <w:r>
        <w:rPr>
          <w:rFonts w:ascii="times" w:eastAsia="times" w:hAnsi="times" w:cs="times"/>
          <w:b w:val="0"/>
          <w:i w:val="0"/>
          <w:strike w:val="0"/>
          <w:noProof w:val="0"/>
          <w:color w:val="000000"/>
          <w:position w:val="0"/>
          <w:sz w:val="24"/>
          <w:u w:val="none"/>
          <w:vertAlign w:val="baseline"/>
        </w:rPr>
        <w:t>“Unusual circumstances” means any 1 or a combination of the following, but only to the extent necessary for the proper processing of a request:</w:t>
      </w:r>
    </w:p>
    <w:p>
      <w:pPr>
        <w:keepNext w:val="0"/>
        <w:spacing w:before="120" w:after="0" w:line="300" w:lineRule="atLeast"/>
        <w:ind w:left="1440" w:right="0"/>
        <w:jc w:val="left"/>
      </w:pPr>
      <w:r>
        <w:rPr>
          <w:b/>
        </w:rPr>
        <w:t xml:space="preserve">(i)  </w:t>
      </w:r>
      <w:bookmarkStart w:id="20" w:name="Bookmark__k_i"/>
      <w:bookmarkEnd w:id="20"/>
      <w:r>
        <w:rPr>
          <w:rFonts w:ascii="times" w:eastAsia="times" w:hAnsi="times" w:cs="times"/>
          <w:b w:val="0"/>
          <w:i w:val="0"/>
          <w:strike w:val="0"/>
          <w:noProof w:val="0"/>
          <w:color w:val="000000"/>
          <w:position w:val="0"/>
          <w:sz w:val="24"/>
          <w:u w:val="none"/>
          <w:vertAlign w:val="baseline"/>
        </w:rPr>
        <w:t>The need to search for, collect, or appropriately examine or review a voluminous amount of separate and distinct public records pursuant to a single request.</w:t>
      </w:r>
    </w:p>
    <w:p>
      <w:pPr>
        <w:keepNext w:val="0"/>
        <w:spacing w:before="120" w:after="0" w:line="300" w:lineRule="atLeast"/>
        <w:ind w:left="1440" w:right="0"/>
        <w:jc w:val="left"/>
      </w:pPr>
      <w:r>
        <w:rPr>
          <w:b/>
        </w:rPr>
        <w:t xml:space="preserve">(ii)  </w:t>
      </w:r>
      <w:bookmarkStart w:id="21" w:name="Bookmark__k_ii"/>
      <w:bookmarkEnd w:id="21"/>
      <w:r>
        <w:rPr>
          <w:rFonts w:ascii="times" w:eastAsia="times" w:hAnsi="times" w:cs="times"/>
          <w:b w:val="0"/>
          <w:i w:val="0"/>
          <w:strike w:val="0"/>
          <w:noProof w:val="0"/>
          <w:color w:val="000000"/>
          <w:position w:val="0"/>
          <w:sz w:val="24"/>
          <w:u w:val="none"/>
          <w:vertAlign w:val="baseline"/>
        </w:rPr>
        <w:t>The need to collect the requested public records from numerous field offices, facilities, or other establishments which are located apart from the particular office receiving or processing the request.</w:t>
      </w:r>
    </w:p>
    <w:p>
      <w:pPr>
        <w:keepNext w:val="0"/>
        <w:spacing w:before="120" w:after="0" w:line="300" w:lineRule="atLeast"/>
        <w:ind w:left="1080" w:right="0"/>
        <w:jc w:val="left"/>
      </w:pPr>
      <w:r>
        <w:rPr>
          <w:b/>
        </w:rPr>
        <w:t xml:space="preserve">(l)  </w:t>
      </w:r>
      <w:bookmarkStart w:id="22" w:name="Bookmark__l"/>
      <w:bookmarkEnd w:id="22"/>
      <w:r>
        <w:rPr>
          <w:rFonts w:ascii="times" w:eastAsia="times" w:hAnsi="times" w:cs="times"/>
          <w:b w:val="0"/>
          <w:i w:val="0"/>
          <w:strike w:val="0"/>
          <w:noProof w:val="0"/>
          <w:color w:val="000000"/>
          <w:position w:val="0"/>
          <w:sz w:val="24"/>
          <w:u w:val="none"/>
          <w:vertAlign w:val="baseline"/>
        </w:rPr>
        <w:t>“Writing” means handwriting, typewriting, printing, photostating, photographing, photocopying, and every other means of recording, and includes letters, words, pictures, sounds, or symbols, or combinations thereof, and papers, maps, magnetic or paper tapes, photographic films or prints, microfilm, microfiche, magnetic or punched cards, discs, drums, hard drives, solid state storage components, or other means of recording or retaining meaningful content.</w:t>
      </w:r>
    </w:p>
    <w:p>
      <w:pPr>
        <w:keepNext w:val="0"/>
        <w:spacing w:before="120" w:after="0" w:line="300" w:lineRule="atLeast"/>
        <w:ind w:left="1080" w:right="0"/>
        <w:jc w:val="left"/>
      </w:pPr>
      <w:r>
        <w:rPr>
          <w:b/>
        </w:rPr>
        <w:t xml:space="preserve">(m)  </w:t>
      </w:r>
      <w:bookmarkStart w:id="23" w:name="Bookmark__m"/>
      <w:bookmarkEnd w:id="23"/>
      <w:r>
        <w:rPr>
          <w:rFonts w:ascii="times" w:eastAsia="times" w:hAnsi="times" w:cs="times"/>
          <w:b w:val="0"/>
          <w:i w:val="0"/>
          <w:strike w:val="0"/>
          <w:noProof w:val="0"/>
          <w:color w:val="000000"/>
          <w:position w:val="0"/>
          <w:sz w:val="24"/>
          <w:u w:val="none"/>
          <w:vertAlign w:val="baseline"/>
        </w:rPr>
        <w:t>“Written request” means a writing that asks for information, and includes a writing transmitted by facsimile, electronic mail, or other electronic means.</w:t>
      </w:r>
    </w:p>
    <w:p>
      <w:pPr>
        <w:keepNext/>
        <w:spacing w:before="240" w:after="0" w:line="340" w:lineRule="atLeast"/>
        <w:ind w:left="0" w:right="0" w:firstLine="0"/>
        <w:jc w:val="left"/>
      </w:pPr>
      <w:bookmarkStart w:id="24" w:name="History"/>
      <w:bookmarkEnd w:id="24"/>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Pub Acts 1976, No. 442, § 2, imd eff January 13, 1977, by § 16 eff April 13, 1977; amended by Pub Acts 1994, No. 131, imd eff May 19, 1994; 1996, No. 553, eff March 31, 1997; Pub Acts 2018, No. 68, effective June 17, 2018.</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Michigan Compiled Laws Service</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MCLS § 15.232</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MCLS § 15.232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222385012</vt:lpwstr>
  </property>
  <property fmtid="{D5CDD505-2E9C-101B-9397-08002B2CF9AE}" pid="3" name="LADocCount">
    <vt:lpwstr>1</vt:lpwstr>
  </property>
  <property fmtid="{D5CDD505-2E9C-101B-9397-08002B2CF9AE}" pid="4" name="LADocumentID:urn:contentItem:8R9N-GDN2-D6RV-H056-00000-00">
    <vt:lpwstr>Doc::/shared/document|contextualFeaturePermID::1516831</vt:lpwstr>
  </property>
  <property fmtid="{D5CDD505-2E9C-101B-9397-08002B2CF9AE}" pid="5" name="UserPermID">
    <vt:lpwstr>urn:user:PA186163333</vt:lpwstr>
  </property>
</Properties>
</file>