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500.559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500 Insurance Code of 1956 (§§ 500.100 — 500.8302)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218 of 1956 (Chs. 1 — 83)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5A Data Security (§§ 500.550 — 500.565)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500.559. Notification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involving nonpublic information; duty to update and supplement notifications to director; contents; application to third-party service provider; duties of ceding insurers with direct contractual relationship.</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559.</w:t>
      </w:r>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Each licensee shall notify the director as promptly as possible but not later than 10 business days after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of a licensee has occurred when either of the following criteria has been met:</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This state is the licensee’s state of domicile, for an insurer, or this state is the licensee’s home state, for an insurance producer as that term is defined in section 1201,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either of the following:</w:t>
      </w:r>
    </w:p>
    <w:p>
      <w:pPr>
        <w:keepNext w:val="0"/>
        <w:spacing w:before="120" w:after="0" w:line="300" w:lineRule="atLeast"/>
        <w:ind w:left="1440" w:right="0"/>
        <w:jc w:val="left"/>
      </w:pPr>
      <w:r>
        <w:rPr>
          <w:b/>
        </w:rPr>
        <w:t xml:space="preserve">(i)  </w:t>
      </w:r>
      <w:bookmarkStart w:id="3" w:name="Bookmark__1_a_i"/>
      <w:bookmarkEnd w:id="3"/>
      <w:r>
        <w:rPr>
          <w:rFonts w:ascii="times" w:eastAsia="times" w:hAnsi="times" w:cs="times"/>
          <w:b w:val="0"/>
          <w:i w:val="0"/>
          <w:strike w:val="0"/>
          <w:noProof w:val="0"/>
          <w:color w:val="000000"/>
          <w:position w:val="0"/>
          <w:sz w:val="24"/>
          <w:u w:val="none"/>
          <w:vertAlign w:val="baseline"/>
        </w:rPr>
        <w:t>A consumer residing in this state.</w:t>
      </w:r>
    </w:p>
    <w:p>
      <w:pPr>
        <w:keepNext w:val="0"/>
        <w:spacing w:before="120" w:after="0" w:line="300" w:lineRule="atLeast"/>
        <w:ind w:left="1440" w:right="0"/>
        <w:jc w:val="left"/>
      </w:pPr>
      <w:r>
        <w:rPr>
          <w:b/>
        </w:rPr>
        <w:t xml:space="preserve">(ii)  </w:t>
      </w:r>
      <w:bookmarkStart w:id="4" w:name="Bookmark__1_a_ii"/>
      <w:bookmarkEnd w:id="4"/>
      <w:r>
        <w:rPr>
          <w:rFonts w:ascii="times" w:eastAsia="times" w:hAnsi="times" w:cs="times"/>
          <w:b w:val="0"/>
          <w:i w:val="0"/>
          <w:strike w:val="0"/>
          <w:noProof w:val="0"/>
          <w:color w:val="000000"/>
          <w:position w:val="0"/>
          <w:sz w:val="24"/>
          <w:u w:val="none"/>
          <w:vertAlign w:val="baseline"/>
        </w:rPr>
        <w:t>Any material part of a normal operation of the licensee.</w:t>
      </w:r>
    </w:p>
    <w:p>
      <w:pPr>
        <w:keepNext w:val="0"/>
        <w:spacing w:before="120" w:after="0" w:line="300" w:lineRule="atLeast"/>
        <w:ind w:left="1080" w:right="0"/>
        <w:jc w:val="left"/>
      </w:pPr>
      <w:r>
        <w:rPr>
          <w:b/>
        </w:rPr>
        <w:t xml:space="preserve">(b)  </w:t>
      </w:r>
      <w:bookmarkStart w:id="5" w:name="Bookmark__1_b"/>
      <w:bookmarkEnd w:id="5"/>
      <w:r>
        <w:rPr>
          <w:rFonts w:ascii="times" w:eastAsia="times" w:hAnsi="times" w:cs="times"/>
          <w:b w:val="0"/>
          <w:i w:val="0"/>
          <w:strike w:val="0"/>
          <w:noProof w:val="0"/>
          <w:color w:val="000000"/>
          <w:position w:val="0"/>
          <w:sz w:val="24"/>
          <w:u w:val="none"/>
          <w:vertAlign w:val="baseline"/>
        </w:rPr>
        <w:t>The licensee reasonably believes that the nonpublic information involved is of 250 or more consumers residing in this state and is either of the following:</w:t>
      </w:r>
    </w:p>
    <w:p>
      <w:pPr>
        <w:keepNext w:val="0"/>
        <w:spacing w:before="120" w:after="0" w:line="300" w:lineRule="atLeast"/>
        <w:ind w:left="1440" w:right="0"/>
        <w:jc w:val="left"/>
      </w:pPr>
      <w:r>
        <w:rPr>
          <w:b/>
        </w:rPr>
        <w:t xml:space="preserve">(i)  </w:t>
      </w:r>
      <w:bookmarkStart w:id="6" w:name="Bookmark__1_b_i"/>
      <w:bookmarkEnd w:id="6"/>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impacting the licensee of which notice is required to be provided to any government body, self-regulatory agency, or other supervisory body under any state or federal law.</w:t>
      </w:r>
    </w:p>
    <w:p>
      <w:pPr>
        <w:keepNext w:val="0"/>
        <w:spacing w:before="120" w:after="0" w:line="300" w:lineRule="atLeast"/>
        <w:ind w:left="1440" w:right="0"/>
        <w:jc w:val="left"/>
      </w:pPr>
      <w:r>
        <w:rPr>
          <w:b/>
        </w:rPr>
        <w:t xml:space="preserve">(ii)  </w:t>
      </w:r>
      <w:bookmarkStart w:id="7" w:name="Bookmark__1_b_ii"/>
      <w:bookmarkEnd w:id="7"/>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 either of the following:</w:t>
      </w:r>
    </w:p>
    <w:p>
      <w:pPr>
        <w:keepNext w:val="0"/>
        <w:spacing w:before="120" w:after="0" w:line="300" w:lineRule="atLeast"/>
        <w:ind w:left="1800" w:right="0"/>
        <w:jc w:val="left"/>
      </w:pPr>
      <w:r>
        <w:rPr>
          <w:b/>
        </w:rPr>
        <w:t xml:space="preserve">(A)  </w:t>
      </w:r>
      <w:bookmarkStart w:id="8" w:name="Bookmark__1_b_ii_a"/>
      <w:bookmarkEnd w:id="8"/>
      <w:r>
        <w:rPr>
          <w:rFonts w:ascii="times" w:eastAsia="times" w:hAnsi="times" w:cs="times"/>
          <w:b w:val="0"/>
          <w:i w:val="0"/>
          <w:strike w:val="0"/>
          <w:noProof w:val="0"/>
          <w:color w:val="000000"/>
          <w:position w:val="0"/>
          <w:sz w:val="24"/>
          <w:u w:val="none"/>
          <w:vertAlign w:val="baseline"/>
        </w:rPr>
        <w:t>Any consumer residing in this state.</w:t>
      </w:r>
    </w:p>
    <w:p>
      <w:pPr>
        <w:keepNext w:val="0"/>
        <w:spacing w:before="120" w:after="0" w:line="300" w:lineRule="atLeast"/>
        <w:ind w:left="1800" w:right="0"/>
        <w:jc w:val="left"/>
      </w:pPr>
      <w:r>
        <w:rPr>
          <w:b/>
        </w:rPr>
        <w:t xml:space="preserve">(B)  </w:t>
      </w:r>
      <w:bookmarkStart w:id="9" w:name="Bookmark__1_b_ii_b"/>
      <w:bookmarkEnd w:id="9"/>
      <w:r>
        <w:rPr>
          <w:rFonts w:ascii="times" w:eastAsia="times" w:hAnsi="times" w:cs="times"/>
          <w:b w:val="0"/>
          <w:i w:val="0"/>
          <w:strike w:val="0"/>
          <w:noProof w:val="0"/>
          <w:color w:val="000000"/>
          <w:position w:val="0"/>
          <w:sz w:val="24"/>
          <w:u w:val="none"/>
          <w:vertAlign w:val="baseline"/>
        </w:rPr>
        <w:t>Any material part of the normal operation of the licensee.</w:t>
      </w:r>
    </w:p>
    <w:p>
      <w:pPr>
        <w:keepNext w:val="0"/>
        <w:spacing w:before="120" w:after="0" w:line="300" w:lineRule="atLeast"/>
        <w:ind w:left="720" w:right="0"/>
        <w:jc w:val="left"/>
      </w:pPr>
      <w:r>
        <w:rPr>
          <w:b/>
        </w:rPr>
        <w:t xml:space="preserve">(2)  </w:t>
      </w:r>
      <w:bookmarkStart w:id="10" w:name="Bookmark__2"/>
      <w:bookmarkEnd w:id="10"/>
      <w:r>
        <w:rPr>
          <w:rFonts w:ascii="times" w:eastAsia="times" w:hAnsi="times" w:cs="times"/>
          <w:b w:val="0"/>
          <w:i w:val="0"/>
          <w:strike w:val="0"/>
          <w:noProof w:val="0"/>
          <w:color w:val="000000"/>
          <w:position w:val="0"/>
          <w:sz w:val="24"/>
          <w:u w:val="none"/>
          <w:vertAlign w:val="baseline"/>
        </w:rPr>
        <w:t xml:space="preserve">The licensee shall provide the information under this subsection in electronic form as directed by the director. The licensee has a continuing obligation to update and supplement initial and subsequent notifications to the director regarding material changes to previously provided information relating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as much of the following information as possible:</w:t>
      </w:r>
    </w:p>
    <w:p>
      <w:pPr>
        <w:keepNext w:val="0"/>
        <w:spacing w:before="120" w:after="0" w:line="300" w:lineRule="atLeast"/>
        <w:ind w:left="1080" w:right="0"/>
        <w:jc w:val="left"/>
      </w:pPr>
      <w:r>
        <w:rPr>
          <w:b/>
        </w:rPr>
        <w:t xml:space="preserve">(a)  </w:t>
      </w:r>
      <w:bookmarkStart w:id="11" w:name="Bookmark__2_a"/>
      <w:bookmarkEnd w:id="11"/>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(b)  </w:t>
      </w:r>
      <w:bookmarkStart w:id="12" w:name="Bookmark__2_b"/>
      <w:bookmarkEnd w:id="12"/>
      <w:r>
        <w:rPr>
          <w:rFonts w:ascii="times" w:eastAsia="times" w:hAnsi="times" w:cs="times"/>
          <w:b w:val="0"/>
          <w:i w:val="0"/>
          <w:strike w:val="0"/>
          <w:noProof w:val="0"/>
          <w:color w:val="000000"/>
          <w:position w:val="0"/>
          <w:sz w:val="24"/>
          <w:u w:val="none"/>
          <w:vertAlign w:val="baseline"/>
        </w:rPr>
        <w:t>A description of how the information was exposed, lost, stolen, or breached, including the specific roles and responsibilities of third-party service providers, if any.</w:t>
      </w:r>
    </w:p>
    <w:p>
      <w:pPr>
        <w:keepNext w:val="0"/>
        <w:spacing w:before="120" w:after="0" w:line="300" w:lineRule="atLeast"/>
        <w:ind w:left="1080" w:right="0"/>
        <w:jc w:val="left"/>
      </w:pPr>
      <w:r>
        <w:rPr>
          <w:b/>
        </w:rPr>
        <w:t xml:space="preserve">(c)  </w:t>
      </w:r>
      <w:bookmarkStart w:id="13" w:name="Bookmark__2_c"/>
      <w:bookmarkEnd w:id="13"/>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080" w:right="0"/>
        <w:jc w:val="left"/>
      </w:pPr>
      <w:r>
        <w:rPr>
          <w:b/>
        </w:rPr>
        <w:t xml:space="preserve">(d)  </w:t>
      </w:r>
      <w:bookmarkStart w:id="14" w:name="Bookmark__2_d"/>
      <w:bookmarkEnd w:id="14"/>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this was done.</w:t>
      </w:r>
    </w:p>
    <w:p>
      <w:pPr>
        <w:keepNext w:val="0"/>
        <w:spacing w:before="120" w:after="0" w:line="300" w:lineRule="atLeast"/>
        <w:ind w:left="1080" w:right="0"/>
        <w:jc w:val="left"/>
      </w:pPr>
      <w:r>
        <w:rPr>
          <w:b/>
        </w:rPr>
        <w:t xml:space="preserve">(e)  </w:t>
      </w:r>
      <w:bookmarkStart w:id="15" w:name="Bookmark__2_e"/>
      <w:bookmarkEnd w:id="15"/>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(f)  </w:t>
      </w:r>
      <w:bookmarkStart w:id="16" w:name="Bookmark__2_f"/>
      <w:bookmarkEnd w:id="16"/>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 enforcement agencies and, if so, when the notification was provided.</w:t>
      </w:r>
    </w:p>
    <w:p>
      <w:pPr>
        <w:keepNext w:val="0"/>
        <w:spacing w:before="120" w:after="0" w:line="300" w:lineRule="atLeast"/>
        <w:ind w:left="1080" w:right="0"/>
        <w:jc w:val="left"/>
      </w:pPr>
      <w:r>
        <w:rPr>
          <w:b/>
        </w:rPr>
        <w:t xml:space="preserve">(g)  </w:t>
      </w:r>
      <w:bookmarkStart w:id="17" w:name="Bookmark__2_g"/>
      <w:bookmarkEnd w:id="17"/>
      <w:r>
        <w:rPr>
          <w:rFonts w:ascii="times" w:eastAsia="times" w:hAnsi="times" w:cs="times"/>
          <w:b w:val="0"/>
          <w:i w:val="0"/>
          <w:strike w:val="0"/>
          <w:noProof w:val="0"/>
          <w:color w:val="000000"/>
          <w:position w:val="0"/>
          <w:sz w:val="24"/>
          <w:u w:val="none"/>
          <w:vertAlign w:val="baseline"/>
        </w:rPr>
        <w:t>A description of the specific types of information acquired without authorization. As used in this subdivision, “specific types of information” means particular data elements including, for example, types of medical information, types of financial information, or types of information allowing identification of the consumer.</w:t>
      </w:r>
    </w:p>
    <w:p>
      <w:pPr>
        <w:keepNext w:val="0"/>
        <w:spacing w:before="120" w:after="0" w:line="300" w:lineRule="atLeast"/>
        <w:ind w:left="1080" w:right="0"/>
        <w:jc w:val="left"/>
      </w:pPr>
      <w:r>
        <w:rPr>
          <w:b/>
        </w:rPr>
        <w:t xml:space="preserve">(h)  </w:t>
      </w:r>
      <w:bookmarkStart w:id="18" w:name="Bookmark__2_h"/>
      <w:bookmarkEnd w:id="18"/>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(i)  </w:t>
      </w:r>
      <w:bookmarkStart w:id="19" w:name="Bookmark__2_i"/>
      <w:bookmarkEnd w:id="19"/>
      <w:r>
        <w:rPr>
          <w:rFonts w:ascii="times" w:eastAsia="times" w:hAnsi="times" w:cs="times"/>
          <w:b w:val="0"/>
          <w:i w:val="0"/>
          <w:strike w:val="0"/>
          <w:noProof w:val="0"/>
          <w:color w:val="000000"/>
          <w:position w:val="0"/>
          <w:sz w:val="24"/>
          <w:u w:val="none"/>
          <w:vertAlign w:val="baseline"/>
        </w:rPr>
        <w:t xml:space="preserve">The number of total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report to the director and update this estimate with each subsequent report to the director under this section.</w:t>
      </w:r>
    </w:p>
    <w:p>
      <w:pPr>
        <w:keepNext w:val="0"/>
        <w:spacing w:before="120" w:after="0" w:line="300" w:lineRule="atLeast"/>
        <w:ind w:left="1080" w:right="0"/>
        <w:jc w:val="left"/>
      </w:pPr>
      <w:r>
        <w:rPr>
          <w:b/>
        </w:rPr>
        <w:t xml:space="preserve">(j)  </w:t>
      </w:r>
      <w:bookmarkStart w:id="20" w:name="Bookmark__2_j"/>
      <w:bookmarkEnd w:id="20"/>
      <w:r>
        <w:rPr>
          <w:rFonts w:ascii="times" w:eastAsia="times" w:hAnsi="times" w:cs="times"/>
          <w:b w:val="0"/>
          <w:i w:val="0"/>
          <w:strike w:val="0"/>
          <w:noProof w:val="0"/>
          <w:color w:val="000000"/>
          <w:position w:val="0"/>
          <w:sz w:val="24"/>
          <w:u w:val="none"/>
          <w:vertAlign w:val="baseline"/>
        </w:rPr>
        <w:t>The results of any internal review identifying a lapse in either automated controls or internal procedures, or confirming that all automated controls or internal procedures were followed.</w:t>
      </w:r>
    </w:p>
    <w:p>
      <w:pPr>
        <w:keepNext w:val="0"/>
        <w:spacing w:before="120" w:after="0" w:line="300" w:lineRule="atLeast"/>
        <w:ind w:left="1080" w:right="0"/>
        <w:jc w:val="left"/>
      </w:pPr>
      <w:r>
        <w:rPr>
          <w:b/>
        </w:rPr>
        <w:t xml:space="preserve">(k)  </w:t>
      </w:r>
      <w:bookmarkStart w:id="21" w:name="Bookmark__2_k"/>
      <w:bookmarkEnd w:id="21"/>
      <w:r>
        <w:rPr>
          <w:rFonts w:ascii="times" w:eastAsia="times" w:hAnsi="times" w:cs="times"/>
          <w:b w:val="0"/>
          <w:i w:val="0"/>
          <w:strike w:val="0"/>
          <w:noProof w:val="0"/>
          <w:color w:val="000000"/>
          <w:position w:val="0"/>
          <w:sz w:val="24"/>
          <w:u w:val="none"/>
          <w:vertAlign w:val="baseline"/>
        </w:rPr>
        <w:t xml:space="preserve">A description of efforts being undertaken to remediate the situation that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080" w:right="0"/>
        <w:jc w:val="left"/>
      </w:pPr>
      <w:r>
        <w:rPr>
          <w:b/>
        </w:rPr>
        <w:t xml:space="preserve">(l)  </w:t>
      </w:r>
      <w:bookmarkStart w:id="22" w:name="Bookmark__2_l"/>
      <w:bookmarkEnd w:id="22"/>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(m)  </w:t>
      </w:r>
      <w:bookmarkStart w:id="23" w:name="Bookmark__2_m"/>
      <w:bookmarkEnd w:id="23"/>
      <w:r>
        <w:rPr>
          <w:rFonts w:ascii="times" w:eastAsia="times" w:hAnsi="times" w:cs="times"/>
          <w:b w:val="0"/>
          <w:i w:val="0"/>
          <w:strike w:val="0"/>
          <w:noProof w:val="0"/>
          <w:color w:val="000000"/>
          <w:position w:val="0"/>
          <w:sz w:val="24"/>
          <w:u w:val="none"/>
          <w:vertAlign w:val="baseline"/>
        </w:rPr>
        <w:t xml:space="preserve">The 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720" w:right="0"/>
        <w:jc w:val="left"/>
      </w:pPr>
      <w:r>
        <w:rPr>
          <w:b/>
        </w:rPr>
        <w:t xml:space="preserve">(3)  </w:t>
      </w:r>
      <w:bookmarkStart w:id="24" w:name="Bookmark__3"/>
      <w:bookmarkEnd w:id="24"/>
      <w:r>
        <w:rPr>
          <w:rFonts w:ascii="times" w:eastAsia="times" w:hAnsi="times" w:cs="times"/>
          <w:b w:val="0"/>
          <w:i w:val="0"/>
          <w:strike w:val="0"/>
          <w:noProof w:val="0"/>
          <w:color w:val="000000"/>
          <w:position w:val="0"/>
          <w:sz w:val="24"/>
          <w:u w:val="none"/>
          <w:vertAlign w:val="baseline"/>
        </w:rPr>
        <w:t>A licensee shall comply with this chapter, as applicable, and provide a copy of the notice sent to consumers under this chapter, if a licensee is required to notify the director under section 559.</w:t>
      </w:r>
    </w:p>
    <w:p>
      <w:pPr>
        <w:keepNext w:val="0"/>
        <w:spacing w:before="120" w:after="0" w:line="300" w:lineRule="atLeast"/>
        <w:ind w:left="720" w:right="0"/>
        <w:jc w:val="left"/>
      </w:pPr>
      <w:r>
        <w:rPr>
          <w:b/>
        </w:rPr>
        <w:t xml:space="preserve">(4)  </w:t>
      </w:r>
      <w:bookmarkStart w:id="25" w:name="Bookmark__4"/>
      <w:bookmarkEnd w:id="25"/>
      <w:r>
        <w:rPr>
          <w:rFonts w:ascii="times" w:eastAsia="times" w:hAnsi="times" w:cs="times"/>
          <w:b w:val="0"/>
          <w:i w:val="0"/>
          <w:strike w:val="0"/>
          <w:noProof w:val="0"/>
          <w:color w:val="000000"/>
          <w:position w:val="0"/>
          <w:sz w:val="24"/>
          <w:u w:val="none"/>
          <w:vertAlign w:val="baseline"/>
        </w:rPr>
        <w:t xml:space="preserve">For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of which the licensee has become aware, the licensee shall treat the event as it would under this section. The computation of the licensee’s deadlines begins on the day after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earlier. This chapter does not prevent or abrogate an agreement between a licensee and another licensee, a third-party service provider, or any other party to fulfill any of the investigation requirements imposed under section 557 or notice requirements imposed under this section.</w:t>
      </w:r>
    </w:p>
    <w:p>
      <w:pPr>
        <w:keepNext w:val="0"/>
        <w:spacing w:before="120" w:after="0" w:line="300" w:lineRule="atLeast"/>
        <w:ind w:left="720" w:right="0"/>
        <w:jc w:val="left"/>
      </w:pPr>
      <w:r>
        <w:rPr>
          <w:b/>
        </w:rPr>
        <w:t xml:space="preserve">(5)  </w:t>
      </w:r>
      <w:bookmarkStart w:id="26" w:name="Bookmark__5"/>
      <w:bookmarkEnd w:id="26"/>
      <w:r>
        <w:rPr>
          <w:rFonts w:ascii="times" w:eastAsia="times" w:hAnsi="times" w:cs="times"/>
          <w:b w:val="0"/>
          <w:i w:val="0"/>
          <w:strike w:val="0"/>
          <w:noProof w:val="0"/>
          <w:color w:val="000000"/>
          <w:position w:val="0"/>
          <w:sz w:val="24"/>
          <w:u w:val="none"/>
          <w:vertAlign w:val="baseline"/>
        </w:rPr>
        <w:t xml:space="preserve">For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the licensee that is acting as an assuming insurer or in the possession, custody, or control of a licensee that is acting as an assuming insurer and that does not have a direct contractual relationship with the affected consumers, the assuming insurer shall notify its affected ceding insurers and the director of its state of domicile within 10 business days after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The ceding insurers that have a direct contractual relationship with affected consumers shall fulfill the consumer notification requirements imposed under this section. For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that is an assuming insurer, the assuming insurer shall notify its affected ceding insurers and the director of its state of domicile within 10 business days after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The ceding insurers that have a direct contractual relationship with affected consumers shall fulfill the consumer notification requirements imposed under this chapter.</w:t>
      </w:r>
    </w:p>
    <w:p>
      <w:pPr>
        <w:keepNext w:val="0"/>
        <w:spacing w:before="120" w:after="0" w:line="300" w:lineRule="atLeast"/>
        <w:ind w:left="720" w:right="0"/>
        <w:jc w:val="left"/>
      </w:pPr>
      <w:r>
        <w:rPr>
          <w:b/>
        </w:rPr>
        <w:t xml:space="preserve">(6)  </w:t>
      </w:r>
      <w:bookmarkStart w:id="27" w:name="Bookmark__6"/>
      <w:bookmarkEnd w:id="27"/>
      <w:r>
        <w:rPr>
          <w:rFonts w:ascii="times" w:eastAsia="times" w:hAnsi="times" w:cs="times"/>
          <w:b w:val="0"/>
          <w:i w:val="0"/>
          <w:strike w:val="0"/>
          <w:noProof w:val="0"/>
          <w:color w:val="000000"/>
          <w:position w:val="0"/>
          <w:sz w:val="24"/>
          <w:u w:val="none"/>
          <w:vertAlign w:val="baseline"/>
        </w:rPr>
        <w:t xml:space="preserve">A licensee acting as an assuming insurer does not have other notice obligations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other data breach under this section or any other law of this state.</w:t>
      </w:r>
    </w:p>
    <w:p>
      <w:pPr>
        <w:keepNext w:val="0"/>
        <w:spacing w:before="120" w:after="0" w:line="300" w:lineRule="atLeast"/>
        <w:ind w:left="720" w:right="0"/>
        <w:jc w:val="left"/>
      </w:pPr>
      <w:r>
        <w:rPr>
          <w:b/>
        </w:rPr>
        <w:t xml:space="preserve">(7)  </w:t>
      </w:r>
      <w:bookmarkStart w:id="28" w:name="Bookmark__7"/>
      <w:bookmarkEnd w:id="28"/>
      <w:r>
        <w:rPr>
          <w:rFonts w:ascii="times" w:eastAsia="times" w:hAnsi="times" w:cs="times"/>
          <w:b w:val="0"/>
          <w:i w:val="0"/>
          <w:strike w:val="0"/>
          <w:noProof w:val="0"/>
          <w:color w:val="000000"/>
          <w:position w:val="0"/>
          <w:sz w:val="24"/>
          <w:u w:val="none"/>
          <w:vertAlign w:val="baseline"/>
        </w:rPr>
        <w:t xml:space="preserve">For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insurer or its third-party service provider for which a consumer accessed the insurer’s services through an independent insurance producer, and for which consumer notice is required under this chapter, the insurer shall notify the producers of record of all affected consumers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not later than the time at which notice is provided to the affected consumers. The insurer is excused from this obligation for any producer who is not authorized by law or contract to sell, solicit, or negotiate on behalf of the insurer, and in those instances in which the insurer does not have the current producer of record information for any individual consumer.</w:t>
      </w:r>
    </w:p>
    <w:p>
      <w:pPr>
        <w:keepNext/>
        <w:spacing w:before="240" w:after="0" w:line="340" w:lineRule="atLeast"/>
        <w:ind w:left="0" w:right="0" w:firstLine="0"/>
        <w:jc w:val="left"/>
      </w:pPr>
      <w:bookmarkStart w:id="29" w:name="History"/>
      <w:bookmarkEnd w:id="2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2018, No. 690, effective January 20,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500.559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500.559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8TRR-P7D2-8T6X-732T-00000-00">
    <vt:lpwstr>Doc::/shared/document|contextualFeaturePermID::1516831</vt:lpwstr>
  </property>
  <property fmtid="{D5CDD505-2E9C-101B-9397-08002B2CF9AE}" pid="5" name="UserPermID">
    <vt:lpwstr>urn:user:PA186163333</vt:lpwstr>
  </property>
</Properties>
</file>