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MCLS § 257.204a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Act 35 of the 2024 Regular Legislative Session and E.R.O. 2024-1</w:t>
      </w:r>
    </w:p>
    <w:p>
      <w:pPr>
        <w:keepNext w:val="0"/>
        <w:spacing w:after="0" w:line="240" w:lineRule="atLeast"/>
        <w:ind w:right="0"/>
        <w:jc w:val="both"/>
      </w:pPr>
      <w:bookmarkStart w:id="0" w:name="Bookmark_1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Michigan Compiled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257 Motor Vehicles (§§ 257.1 — 257.2153)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Act 300 of 1949 (Chs. I — IX)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II Administration, Registration, Certificate of Title And Anti-Theft (§§ 257.201 — 257.259)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257.204a. Central file of individual driving records; certified copies as evidence; electronic certification; </w:t>
      </w:r>
      <w:r>
        <w:rPr>
          <w:rFonts w:ascii="times" w:eastAsia="times" w:hAnsi="times" w:cs="times"/>
          <w:b/>
          <w:i w:val="0"/>
          <w:strike w:val="0"/>
          <w:noProof w:val="0"/>
          <w:color w:val="000000"/>
          <w:position w:val="0"/>
          <w:sz w:val="28"/>
          <w:u w:val="none"/>
          <w:vertAlign w:val="baseline"/>
        </w:rPr>
        <w:t>use</w:t>
      </w:r>
      <w:r>
        <w:rPr>
          <w:rFonts w:ascii="times" w:eastAsia="times" w:hAnsi="times" w:cs="times"/>
          <w:b/>
          <w:i w:val="0"/>
          <w:strike w:val="0"/>
          <w:noProof w:val="0"/>
          <w:color w:val="000000"/>
          <w:position w:val="0"/>
          <w:sz w:val="28"/>
          <w:u w:val="none"/>
          <w:vertAlign w:val="baseline"/>
        </w:rPr>
        <w:t xml:space="preserve"> of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-generated certified information; persons who may receive information contained in records maintained by secretary of state.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Sec. 204a.</w:t>
      </w:r>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secretary of state shall create and maintain a computerized central file that provides an individual historical driving record for a natural person with respect to all of the following:</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A license issued to the individual under chapter III.</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A conviction, civil infraction determination, or other licensing action that is entered against the individual for a violation of this act or a local ordinance that substantially corresponds to a provision of this act, or that is reported to the secretary of state by another jurisdiction.</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A failure of the individual, including a nonresident, to comply with a suspension issued under section 321a.</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A cancellation, denial, revocation, suspension, or restriction of the individual’s operating privilege, a failure to pay a department of state driver responsibility fee, or other licensing action regarding that individual, under this act or that is reported to the secretary of state by another jurisdiction. This subdivision also applies to nonresidents.</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An accident in which the individual is involved.</w:t>
      </w:r>
    </w:p>
    <w:p>
      <w:pPr>
        <w:keepNext w:val="0"/>
        <w:spacing w:before="120" w:after="0" w:line="300" w:lineRule="atLeast"/>
        <w:ind w:left="1080" w:right="0"/>
        <w:jc w:val="left"/>
      </w:pPr>
      <w:r>
        <w:rPr>
          <w:b/>
        </w:rPr>
        <w:t xml:space="preserve">(f)  </w:t>
      </w:r>
      <w:bookmarkStart w:id="7" w:name="Bookmark__1_f"/>
      <w:bookmarkEnd w:id="7"/>
      <w:r>
        <w:rPr>
          <w:rFonts w:ascii="times" w:eastAsia="times" w:hAnsi="times" w:cs="times"/>
          <w:b w:val="0"/>
          <w:i w:val="0"/>
          <w:strike w:val="0"/>
          <w:noProof w:val="0"/>
          <w:color w:val="000000"/>
          <w:position w:val="0"/>
          <w:sz w:val="24"/>
          <w:u w:val="none"/>
          <w:vertAlign w:val="baseline"/>
        </w:rPr>
        <w:t>A conviction of the person for an offense described in former section 319e.</w:t>
      </w:r>
    </w:p>
    <w:p>
      <w:pPr>
        <w:keepNext w:val="0"/>
        <w:spacing w:before="120" w:after="0" w:line="300" w:lineRule="atLeast"/>
        <w:ind w:left="1080" w:right="0"/>
        <w:jc w:val="left"/>
      </w:pPr>
      <w:r>
        <w:rPr>
          <w:b/>
        </w:rPr>
        <w:t xml:space="preserve">(g)  </w:t>
      </w:r>
      <w:bookmarkStart w:id="8" w:name="Bookmark__1_g"/>
      <w:bookmarkEnd w:id="8"/>
      <w:r>
        <w:rPr>
          <w:rFonts w:ascii="times" w:eastAsia="times" w:hAnsi="times" w:cs="times"/>
          <w:b w:val="0"/>
          <w:i w:val="0"/>
          <w:strike w:val="0"/>
          <w:noProof w:val="0"/>
          <w:color w:val="000000"/>
          <w:position w:val="0"/>
          <w:sz w:val="24"/>
          <w:u w:val="none"/>
          <w:vertAlign w:val="baseline"/>
        </w:rPr>
        <w:t>Any driving record requested and received by the secretary of state under section 307.</w:t>
      </w:r>
    </w:p>
    <w:p>
      <w:pPr>
        <w:keepNext w:val="0"/>
        <w:spacing w:before="120" w:after="0" w:line="300" w:lineRule="atLeast"/>
        <w:ind w:left="1080" w:right="0"/>
        <w:jc w:val="left"/>
      </w:pPr>
      <w:r>
        <w:rPr>
          <w:b/>
        </w:rPr>
        <w:t xml:space="preserve">(h)  </w:t>
      </w:r>
      <w:bookmarkStart w:id="9" w:name="Bookmark__1_h"/>
      <w:bookmarkEnd w:id="9"/>
      <w:r>
        <w:rPr>
          <w:rFonts w:ascii="times" w:eastAsia="times" w:hAnsi="times" w:cs="times"/>
          <w:b w:val="0"/>
          <w:i w:val="0"/>
          <w:strike w:val="0"/>
          <w:noProof w:val="0"/>
          <w:color w:val="000000"/>
          <w:position w:val="0"/>
          <w:sz w:val="24"/>
          <w:u w:val="none"/>
          <w:vertAlign w:val="baseline"/>
        </w:rPr>
        <w:t>Any notice given by the secretary of state and the information provided in that notice under section 317(2) or (3).</w:t>
      </w:r>
    </w:p>
    <w:p>
      <w:pPr>
        <w:keepNext w:val="0"/>
        <w:spacing w:before="120" w:after="0" w:line="300" w:lineRule="atLeast"/>
        <w:ind w:left="1080" w:right="0"/>
        <w:jc w:val="left"/>
      </w:pPr>
      <w:r>
        <w:rPr>
          <w:b/>
        </w:rPr>
        <w:t xml:space="preserve">(i)  </w:t>
      </w:r>
      <w:bookmarkStart w:id="10" w:name="Bookmark__1_i"/>
      <w:bookmarkEnd w:id="10"/>
      <w:r>
        <w:rPr>
          <w:rFonts w:ascii="times" w:eastAsia="times" w:hAnsi="times" w:cs="times"/>
          <w:b w:val="0"/>
          <w:i w:val="0"/>
          <w:strike w:val="0"/>
          <w:noProof w:val="0"/>
          <w:color w:val="000000"/>
          <w:position w:val="0"/>
          <w:sz w:val="24"/>
          <w:u w:val="none"/>
          <w:vertAlign w:val="baseline"/>
        </w:rPr>
        <w:t>Any other information received by the secretary of state regarding the individual that is required to be maintained as part of the individual’s driving record as provided by law.</w:t>
      </w:r>
    </w:p>
    <w:p>
      <w:pPr>
        <w:keepNext w:val="0"/>
        <w:spacing w:before="120" w:after="0" w:line="300" w:lineRule="atLeast"/>
        <w:ind w:left="720" w:right="0"/>
        <w:jc w:val="left"/>
      </w:pPr>
      <w:r>
        <w:rPr>
          <w:b/>
        </w:rPr>
        <w:t xml:space="preserve">(2)  </w:t>
      </w:r>
      <w:bookmarkStart w:id="11" w:name="Bookmark__2"/>
      <w:bookmarkEnd w:id="11"/>
      <w:r>
        <w:rPr>
          <w:rFonts w:ascii="times" w:eastAsia="times" w:hAnsi="times" w:cs="times"/>
          <w:b w:val="0"/>
          <w:i w:val="0"/>
          <w:strike w:val="0"/>
          <w:noProof w:val="0"/>
          <w:color w:val="000000"/>
          <w:position w:val="0"/>
          <w:sz w:val="24"/>
          <w:u w:val="none"/>
          <w:vertAlign w:val="baseline"/>
        </w:rPr>
        <w:t xml:space="preserve">A secretary of state certified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-generated or paper copy of an order, record, or paper maintained in the computerized central file of the secretary of state is admissible in evidence in the same manner as the original and is prima facie proof of the contents of and the facts stated in the original.</w:t>
      </w:r>
    </w:p>
    <w:p>
      <w:pPr>
        <w:keepNext w:val="0"/>
        <w:spacing w:before="120" w:after="0" w:line="300" w:lineRule="atLeast"/>
        <w:ind w:left="720" w:right="0"/>
        <w:jc w:val="left"/>
      </w:pPr>
      <w:r>
        <w:rPr>
          <w:b/>
        </w:rPr>
        <w:t xml:space="preserve">(3)  </w:t>
      </w:r>
      <w:bookmarkStart w:id="12" w:name="Bookmark__3"/>
      <w:bookmarkEnd w:id="12"/>
      <w:r>
        <w:rPr>
          <w:rFonts w:ascii="times" w:eastAsia="times" w:hAnsi="times" w:cs="times"/>
          <w:b w:val="0"/>
          <w:i w:val="0"/>
          <w:strike w:val="0"/>
          <w:noProof w:val="0"/>
          <w:color w:val="000000"/>
          <w:position w:val="0"/>
          <w:sz w:val="24"/>
          <w:u w:val="none"/>
          <w:vertAlign w:val="baseline"/>
        </w:rPr>
        <w:t xml:space="preserve">An order, record, or paper generated by the computerized central file of the secretary of state may be certified electronically by the generating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The certification must be a certification of the order, record, or paper as it appeared on a specific date.</w:t>
      </w:r>
    </w:p>
    <w:p>
      <w:pPr>
        <w:keepNext w:val="0"/>
        <w:spacing w:before="120" w:after="0" w:line="300" w:lineRule="atLeast"/>
        <w:ind w:left="720" w:right="0"/>
        <w:jc w:val="left"/>
      </w:pPr>
      <w:r>
        <w:rPr>
          <w:b/>
        </w:rPr>
        <w:t xml:space="preserve">(4)  </w:t>
      </w:r>
      <w:bookmarkStart w:id="13" w:name="Bookmark__4"/>
      <w:bookmarkEnd w:id="13"/>
      <w:r>
        <w:rPr>
          <w:rFonts w:ascii="times" w:eastAsia="times" w:hAnsi="times" w:cs="times"/>
          <w:b w:val="0"/>
          <w:i w:val="0"/>
          <w:strike w:val="0"/>
          <w:noProof w:val="0"/>
          <w:color w:val="000000"/>
          <w:position w:val="0"/>
          <w:sz w:val="24"/>
          <w:u w:val="none"/>
          <w:vertAlign w:val="baseline"/>
        </w:rPr>
        <w:t xml:space="preserve">A court or the office of the clerk of a court of this state that is electronically connected by a terminal device to the computerized central file of the secretary of state may receive into and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as evidence in any case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-generated certified information obtained by the terminal device from the file. A duly authorized employee of a court of record of this state may order a record for an individual from a secretary of state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terminal device located in, and under the control of, the court, and certify in writing that the document was produced from the terminal and that the document was not altered in any way.</w:t>
      </w:r>
    </w:p>
    <w:p>
      <w:pPr>
        <w:keepNext w:val="0"/>
        <w:spacing w:before="120" w:after="0" w:line="300" w:lineRule="atLeast"/>
        <w:ind w:left="720" w:right="0"/>
        <w:jc w:val="left"/>
      </w:pPr>
      <w:r>
        <w:rPr>
          <w:b/>
        </w:rPr>
        <w:t xml:space="preserve">(5)  </w:t>
      </w:r>
      <w:bookmarkStart w:id="14" w:name="Bookmark__5"/>
      <w:bookmarkEnd w:id="14"/>
      <w:r>
        <w:rPr>
          <w:rFonts w:ascii="times" w:eastAsia="times" w:hAnsi="times" w:cs="times"/>
          <w:b w:val="0"/>
          <w:i w:val="0"/>
          <w:strike w:val="0"/>
          <w:noProof w:val="0"/>
          <w:color w:val="000000"/>
          <w:position w:val="0"/>
          <w:sz w:val="24"/>
          <w:u w:val="none"/>
          <w:vertAlign w:val="baseline"/>
        </w:rPr>
        <w:t>After receiving a request for information contained in records maintained under this section, the secretary of state shall provide the information, in a form prescribed by the secretary of state, to any of the following:</w:t>
      </w:r>
    </w:p>
    <w:p>
      <w:pPr>
        <w:keepNext w:val="0"/>
        <w:spacing w:before="120" w:after="0" w:line="300" w:lineRule="atLeast"/>
        <w:ind w:left="1080" w:right="0"/>
        <w:jc w:val="left"/>
      </w:pPr>
      <w:r>
        <w:rPr>
          <w:b/>
        </w:rPr>
        <w:t xml:space="preserve">(a)  </w:t>
      </w:r>
      <w:bookmarkStart w:id="15" w:name="Bookmark__5_a"/>
      <w:bookmarkEnd w:id="15"/>
      <w:r>
        <w:rPr>
          <w:rFonts w:ascii="times" w:eastAsia="times" w:hAnsi="times" w:cs="times"/>
          <w:b w:val="0"/>
          <w:i w:val="0"/>
          <w:strike w:val="0"/>
          <w:noProof w:val="0"/>
          <w:color w:val="000000"/>
          <w:position w:val="0"/>
          <w:sz w:val="24"/>
          <w:u w:val="none"/>
          <w:vertAlign w:val="baseline"/>
        </w:rPr>
        <w:t>Another state.</w:t>
      </w:r>
    </w:p>
    <w:p>
      <w:pPr>
        <w:keepNext w:val="0"/>
        <w:spacing w:before="120" w:after="0" w:line="300" w:lineRule="atLeast"/>
        <w:ind w:left="1080" w:right="0"/>
        <w:jc w:val="left"/>
      </w:pPr>
      <w:r>
        <w:rPr>
          <w:b/>
        </w:rPr>
        <w:t xml:space="preserve">(b)  </w:t>
      </w:r>
      <w:bookmarkStart w:id="16" w:name="Bookmark__5_b"/>
      <w:bookmarkEnd w:id="16"/>
      <w:r>
        <w:rPr>
          <w:rFonts w:ascii="times" w:eastAsia="times" w:hAnsi="times" w:cs="times"/>
          <w:b w:val="0"/>
          <w:i w:val="0"/>
          <w:strike w:val="0"/>
          <w:noProof w:val="0"/>
          <w:color w:val="000000"/>
          <w:position w:val="0"/>
          <w:sz w:val="24"/>
          <w:u w:val="none"/>
          <w:vertAlign w:val="baseline"/>
        </w:rPr>
        <w:t>The United States Secretary of Transportation.</w:t>
      </w:r>
    </w:p>
    <w:p>
      <w:pPr>
        <w:keepNext w:val="0"/>
        <w:spacing w:before="120" w:after="0" w:line="300" w:lineRule="atLeast"/>
        <w:ind w:left="1080" w:right="0"/>
        <w:jc w:val="left"/>
      </w:pPr>
      <w:r>
        <w:rPr>
          <w:b/>
        </w:rPr>
        <w:t xml:space="preserve">(c)  </w:t>
      </w:r>
      <w:bookmarkStart w:id="17" w:name="Bookmark__5_c"/>
      <w:bookmarkEnd w:id="17"/>
      <w:r>
        <w:rPr>
          <w:rFonts w:ascii="times" w:eastAsia="times" w:hAnsi="times" w:cs="times"/>
          <w:b w:val="0"/>
          <w:i w:val="0"/>
          <w:strike w:val="0"/>
          <w:noProof w:val="0"/>
          <w:color w:val="000000"/>
          <w:position w:val="0"/>
          <w:sz w:val="24"/>
          <w:u w:val="none"/>
          <w:vertAlign w:val="baseline"/>
        </w:rPr>
        <w:t>The individual who is the subject of the record.</w:t>
      </w:r>
    </w:p>
    <w:p>
      <w:pPr>
        <w:keepNext w:val="0"/>
        <w:spacing w:before="120" w:after="0" w:line="300" w:lineRule="atLeast"/>
        <w:ind w:left="1080" w:right="0"/>
        <w:jc w:val="left"/>
      </w:pPr>
      <w:r>
        <w:rPr>
          <w:b/>
        </w:rPr>
        <w:t xml:space="preserve">(d)  </w:t>
      </w:r>
      <w:bookmarkStart w:id="18" w:name="Bookmark__5_d"/>
      <w:bookmarkEnd w:id="18"/>
      <w:r>
        <w:rPr>
          <w:rFonts w:ascii="times" w:eastAsia="times" w:hAnsi="times" w:cs="times"/>
          <w:b w:val="0"/>
          <w:i w:val="0"/>
          <w:strike w:val="0"/>
          <w:noProof w:val="0"/>
          <w:color w:val="000000"/>
          <w:position w:val="0"/>
          <w:sz w:val="24"/>
          <w:u w:val="none"/>
          <w:vertAlign w:val="baseline"/>
        </w:rPr>
        <w:t>A motor carrier employer or prospective motor carrier employer, but only if the individual who is the subject of the record is first notified of the request as prescribed by the secretary of state.</w:t>
      </w:r>
    </w:p>
    <w:p>
      <w:pPr>
        <w:keepNext w:val="0"/>
        <w:spacing w:before="120" w:after="0" w:line="300" w:lineRule="atLeast"/>
        <w:ind w:left="1080" w:right="0"/>
        <w:jc w:val="left"/>
      </w:pPr>
      <w:r>
        <w:rPr>
          <w:b/>
        </w:rPr>
        <w:t xml:space="preserve">(e)  </w:t>
      </w:r>
      <w:bookmarkStart w:id="19" w:name="Bookmark__5_e"/>
      <w:bookmarkEnd w:id="19"/>
      <w:r>
        <w:rPr>
          <w:rFonts w:ascii="times" w:eastAsia="times" w:hAnsi="times" w:cs="times"/>
          <w:b w:val="0"/>
          <w:i w:val="0"/>
          <w:strike w:val="0"/>
          <w:noProof w:val="0"/>
          <w:color w:val="000000"/>
          <w:position w:val="0"/>
          <w:sz w:val="24"/>
          <w:u w:val="none"/>
          <w:vertAlign w:val="baseline"/>
        </w:rPr>
        <w:t>An authorized agent of an individual or entity listed in subdivisions (a) to (d).</w:t>
      </w:r>
    </w:p>
    <w:p>
      <w:pPr>
        <w:keepNext/>
        <w:spacing w:before="240" w:after="0" w:line="340" w:lineRule="atLeast"/>
        <w:ind w:left="0" w:right="0" w:firstLine="0"/>
        <w:jc w:val="left"/>
      </w:pPr>
      <w:bookmarkStart w:id="20" w:name="History"/>
      <w:bookmarkEnd w:id="2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Pub Act 1949, No. 300, Ch. II, § 204a, as added by Pub Acts 1953, No. 215, eff October 2, 1953; amended by Pub Acts 1968, No. 278, imd eff July 1, 1968; 1978, No. 510, by § 4 eff August 1, 1979; 1993, No. 359, by § 2 eff September 1, 1994; 1996, No. 102, imd eff March 5, 1996; 1998, No. 346, by enacting § 1 eff October 1, 1999; 1999, No. 73, imd eff June 28, 1999, by enacting § 1 eff October 1, 1999; 2004, No. 362, imd eff October 4, 2004; Pub Acts 2016, No. 332, effective December 9, 2016; Pub Acts 2020, No. 376, effective October 1,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Michigan Compiled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MCLS § 257.204a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MCLS § 257.204a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222385012</vt:lpwstr>
  </property>
  <property fmtid="{D5CDD505-2E9C-101B-9397-08002B2CF9AE}" pid="3" name="LADocCount">
    <vt:lpwstr>1</vt:lpwstr>
  </property>
  <property fmtid="{D5CDD505-2E9C-101B-9397-08002B2CF9AE}" pid="4" name="LADocumentID:urn:contentItem:61S5-MMY3-GXJ9-3527-00000-00">
    <vt:lpwstr>Doc::/shared/document|contextualFeaturePermID::1516831</vt:lpwstr>
  </property>
  <property fmtid="{D5CDD505-2E9C-101B-9397-08002B2CF9AE}" pid="5" name="UserPermID">
    <vt:lpwstr>urn:user:PA186163333</vt:lpwstr>
  </property>
</Properties>
</file>