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609.8912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1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Expungement; Victims (Chs. 609 — 624)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609.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Code (§§ 609.001 — 609.912)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Against Commerce (§§ 609.86 — 609.896)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609.8912 </w:t>
      </w:r>
      <w:r>
        <w:rPr>
          <w:rFonts w:ascii="times" w:eastAsia="times" w:hAnsi="times" w:cs="times"/>
          <w:b/>
          <w:i w:val="0"/>
          <w:strike w:val="0"/>
          <w:noProof w:val="0"/>
          <w:color w:val="000000"/>
          <w:position w:val="0"/>
          <w:sz w:val="28"/>
          <w:u w:val="none"/>
          <w:vertAlign w:val="baseline"/>
        </w:rPr>
        <w:t>CRIMINAL</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USE</w:t>
      </w:r>
      <w:r>
        <w:rPr>
          <w:rFonts w:ascii="times" w:eastAsia="times" w:hAnsi="times" w:cs="times"/>
          <w:b/>
          <w:i w:val="0"/>
          <w:strike w:val="0"/>
          <w:noProof w:val="0"/>
          <w:color w:val="000000"/>
          <w:position w:val="0"/>
          <w:sz w:val="28"/>
          <w:u w:val="none"/>
          <w:vertAlign w:val="baseline"/>
        </w:rPr>
        <w:t xml:space="preserve"> OF ENCRYPTION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Subdivision 1.  Crime. —  </w:t>
      </w:r>
      <w:bookmarkStart w:id="1" w:name="Bookmark__1"/>
      <w:bookmarkEnd w:id="1"/>
      <w:r>
        <w:rPr>
          <w:rFonts w:ascii="times" w:eastAsia="times" w:hAnsi="times" w:cs="times"/>
          <w:b w:val="0"/>
          <w:i w:val="0"/>
          <w:strike w:val="0"/>
          <w:noProof w:val="0"/>
          <w:color w:val="000000"/>
          <w:position w:val="0"/>
          <w:sz w:val="24"/>
          <w:u w:val="none"/>
          <w:vertAlign w:val="baseline"/>
        </w:rPr>
        <w:t xml:space="preserve">Whoever intentionally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or attempts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encryption to do any of the following is guilty of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encryption and may be sentenced as provided in subdivision 2:</w:t>
      </w:r>
    </w:p>
    <w:p>
      <w:pPr>
        <w:keepNext w:val="0"/>
        <w:spacing w:before="120" w:after="0" w:line="300" w:lineRule="atLeast"/>
        <w:ind w:left="1080" w:right="0"/>
        <w:jc w:val="left"/>
      </w:pPr>
      <w:r>
        <w:rPr>
          <w:b/>
        </w:rPr>
        <w:t xml:space="preserve">(1)  </w:t>
      </w:r>
      <w:bookmarkStart w:id="2" w:name="Bookmark__1_1"/>
      <w:bookmarkEnd w:id="2"/>
      <w:r>
        <w:rPr>
          <w:rFonts w:ascii="times" w:eastAsia="times" w:hAnsi="times" w:cs="times"/>
          <w:b w:val="0"/>
          <w:i w:val="0"/>
          <w:strike w:val="0"/>
          <w:noProof w:val="0"/>
          <w:color w:val="000000"/>
          <w:position w:val="0"/>
          <w:sz w:val="24"/>
          <w:u w:val="none"/>
          <w:vertAlign w:val="baseline"/>
        </w:rPr>
        <w:t xml:space="preserve">to commit, further, or facilitate conduct constituting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(2)  </w:t>
      </w:r>
      <w:bookmarkStart w:id="3" w:name="Bookmark__1_2"/>
      <w:bookmarkEnd w:id="3"/>
      <w:r>
        <w:rPr>
          <w:rFonts w:ascii="times" w:eastAsia="times" w:hAnsi="times" w:cs="times"/>
          <w:b w:val="0"/>
          <w:i w:val="0"/>
          <w:strike w:val="0"/>
          <w:noProof w:val="0"/>
          <w:color w:val="000000"/>
          <w:position w:val="0"/>
          <w:sz w:val="24"/>
          <w:u w:val="none"/>
          <w:vertAlign w:val="baseline"/>
        </w:rPr>
        <w:t xml:space="preserve">to conceal the commission of any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(3)  </w:t>
      </w:r>
      <w:bookmarkStart w:id="4" w:name="Bookmark__1_3"/>
      <w:bookmarkEnd w:id="4"/>
      <w:r>
        <w:rPr>
          <w:rFonts w:ascii="times" w:eastAsia="times" w:hAnsi="times" w:cs="times"/>
          <w:b w:val="0"/>
          <w:i w:val="0"/>
          <w:strike w:val="0"/>
          <w:noProof w:val="0"/>
          <w:color w:val="000000"/>
          <w:position w:val="0"/>
          <w:sz w:val="24"/>
          <w:u w:val="none"/>
          <w:vertAlign w:val="baseline"/>
        </w:rPr>
        <w:t xml:space="preserve">to conceal or protect the identity of a person who has committed any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1080" w:right="0"/>
        <w:jc w:val="left"/>
      </w:pPr>
      <w:r>
        <w:rPr>
          <w:b/>
        </w:rPr>
        <w:t xml:space="preserve">(4)  </w:t>
      </w:r>
      <w:bookmarkStart w:id="5" w:name="Bookmark__1_4"/>
      <w:bookmarkEnd w:id="5"/>
      <w:r>
        <w:rPr>
          <w:rFonts w:ascii="times" w:eastAsia="times" w:hAnsi="times" w:cs="times"/>
          <w:b w:val="0"/>
          <w:i w:val="0"/>
          <w:strike w:val="0"/>
          <w:noProof w:val="0"/>
          <w:color w:val="000000"/>
          <w:position w:val="0"/>
          <w:sz w:val="24"/>
          <w:u w:val="none"/>
          <w:vertAlign w:val="baseline"/>
        </w:rPr>
        <w:t xml:space="preserve">to prevent, impede, delay, or disrupt the normal operation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another’s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w:t>
      </w:r>
    </w:p>
    <w:p>
      <w:pPr>
        <w:spacing w:before="120" w:line="240" w:lineRule="atLeast"/>
        <w:ind w:left="720"/>
      </w:pPr>
      <w:r>
        <w:rPr>
          <w:b/>
        </w:rPr>
        <w:t xml:space="preserve">Subd. 2.  Penalties.  </w:t>
      </w:r>
      <w:bookmarkStart w:id="6" w:name="Bookmark__2"/>
      <w:bookmarkEnd w:id="6"/>
    </w:p>
    <w:p>
      <w:pPr>
        <w:keepNext w:val="0"/>
        <w:spacing w:before="120" w:after="0" w:line="300" w:lineRule="atLeast"/>
        <w:ind w:left="1080" w:right="0"/>
        <w:jc w:val="left"/>
      </w:pPr>
      <w:r>
        <w:rPr>
          <w:b/>
        </w:rPr>
        <w:t xml:space="preserve">(a)  </w:t>
      </w:r>
      <w:bookmarkStart w:id="7" w:name="Bookmark__2_a"/>
      <w:bookmarkEnd w:id="7"/>
      <w:r>
        <w:rPr>
          <w:rFonts w:ascii="times" w:eastAsia="times" w:hAnsi="times" w:cs="times"/>
          <w:b w:val="0"/>
          <w:i w:val="0"/>
          <w:strike w:val="0"/>
          <w:noProof w:val="0"/>
          <w:color w:val="000000"/>
          <w:position w:val="0"/>
          <w:sz w:val="24"/>
          <w:u w:val="none"/>
          <w:vertAlign w:val="baseline"/>
        </w:rPr>
        <w:t>A person who violates subdivision 1 may be sentenced to imprisonment for not more than five years or to payment of a fine of not more than $ 10,000, or both, if:</w:t>
      </w:r>
    </w:p>
    <w:p>
      <w:pPr>
        <w:keepNext w:val="0"/>
        <w:spacing w:before="120" w:after="0" w:line="300" w:lineRule="atLeast"/>
        <w:ind w:left="1440" w:right="0"/>
        <w:jc w:val="left"/>
      </w:pPr>
      <w:r>
        <w:rPr>
          <w:b/>
        </w:rPr>
        <w:t xml:space="preserve">(1)  </w:t>
      </w:r>
      <w:bookmarkStart w:id="8" w:name="Bookmark__2_a_1"/>
      <w:bookmarkEnd w:id="8"/>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referenced in subdivision 1, clause (1), (2), or (3), is a felony; or</w:t>
      </w:r>
    </w:p>
    <w:p>
      <w:pPr>
        <w:keepNext w:val="0"/>
        <w:spacing w:before="120" w:after="0" w:line="300" w:lineRule="atLeast"/>
        <w:ind w:left="1440" w:right="0"/>
        <w:jc w:val="left"/>
      </w:pPr>
      <w:r>
        <w:rPr>
          <w:b/>
        </w:rPr>
        <w:t xml:space="preserve">(2)  </w:t>
      </w:r>
      <w:bookmarkStart w:id="9" w:name="Bookmark__2_a_2"/>
      <w:bookmarkEnd w:id="9"/>
      <w:r>
        <w:rPr>
          <w:rFonts w:ascii="times" w:eastAsia="times" w:hAnsi="times" w:cs="times"/>
          <w:b w:val="0"/>
          <w:i w:val="0"/>
          <w:strike w:val="0"/>
          <w:noProof w:val="0"/>
          <w:color w:val="000000"/>
          <w:position w:val="0"/>
          <w:sz w:val="24"/>
          <w:u w:val="none"/>
          <w:vertAlign w:val="baseline"/>
        </w:rPr>
        <w:t>the person has two or more prior convictions for an offense under this section, section 609.88, 609.89, 609.891, or 609.8913, or similar laws of other states, the United States, the District of Columbia, tribal lands, and United States territories.</w:t>
      </w:r>
    </w:p>
    <w:p>
      <w:pPr>
        <w:keepNext w:val="0"/>
        <w:spacing w:before="120" w:after="0" w:line="300" w:lineRule="atLeast"/>
        <w:ind w:left="1080" w:right="0"/>
        <w:jc w:val="left"/>
      </w:pPr>
      <w:r>
        <w:rPr>
          <w:b/>
        </w:rPr>
        <w:t xml:space="preserve">(b)  </w:t>
      </w:r>
      <w:bookmarkStart w:id="10" w:name="Bookmark__2_b"/>
      <w:bookmarkEnd w:id="10"/>
      <w:r>
        <w:rPr>
          <w:rFonts w:ascii="times" w:eastAsia="times" w:hAnsi="times" w:cs="times"/>
          <w:b w:val="0"/>
          <w:i w:val="0"/>
          <w:strike w:val="0"/>
          <w:noProof w:val="0"/>
          <w:color w:val="000000"/>
          <w:position w:val="0"/>
          <w:sz w:val="24"/>
          <w:u w:val="none"/>
          <w:vertAlign w:val="baseline"/>
        </w:rPr>
        <w:t>A person who violates subdivision 1, under circumstances not described in paragraph (a), is guilty of a gross misdemeanor and may be sentenced to imprisonment for not more than one year or to payment of a fine of not more than $ 3,000, or both.</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2006 c 260 art 1 s 36.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609.8912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609.8912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5DCP-BRT1-DYB7-W0JD-00000-00">
    <vt:lpwstr>Doc::/shared/document|contextualFeaturePermID::1516831</vt:lpwstr>
  </property>
  <property fmtid="{D5CDD505-2E9C-101B-9397-08002B2CF9AE}" pid="5" name="UserPermID">
    <vt:lpwstr>urn:user:PA186163333</vt:lpwstr>
  </property>
</Properties>
</file>