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83-5-811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83. Insurance (Chs. 1 — 87)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General Provisions Relative to Insurance and Insurance Companies (Arts.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Insurance Data Security Law (§§ 83-5-801 — 83-5-825)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83-5-811. Notification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involving nonpublic information; information to be provided; investigation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in system maintained by third-party service provider.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Each licensee shall notify the commissioner as promptly as possible but in no event later than three (3)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a licensee has occurred when either of the following criteria has been met:</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This state is the licensee’s state of domicile, in the case of an insurer, or this state is the licensee’s home state, in the case of a producer, as those terms are defined in Section 83-17-53,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residing in this state or reasonable likelihood of materially harming any material part of the normal operation(s) of the licensee; or</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The licensee reasonably believes that the nonpublic information involved is of two hundred fifty (250) or more consumers residing in this state and that is either of the following:</w:t>
      </w:r>
    </w:p>
    <w:p>
      <w:pPr>
        <w:keepNext w:val="0"/>
        <w:spacing w:before="120" w:after="0" w:line="300" w:lineRule="atLeast"/>
        <w:ind w:left="1440" w:right="0"/>
        <w:jc w:val="left"/>
      </w:pPr>
      <w:r>
        <w:rPr>
          <w:b/>
        </w:rPr>
        <w:t xml:space="preserve">(i)  </w:t>
      </w:r>
      <w:bookmarkStart w:id="4" w:name="Bookmark__1_b_i"/>
      <w:bookmarkEnd w:id="4"/>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of which notice is required to be provided to any government body, self-regulatory agency or any other supervisory body pursuant to any state or federal law; or</w:t>
      </w:r>
    </w:p>
    <w:p>
      <w:pPr>
        <w:keepNext w:val="0"/>
        <w:spacing w:before="120" w:after="0" w:line="300" w:lineRule="atLeast"/>
        <w:ind w:left="1440" w:right="0"/>
        <w:jc w:val="left"/>
      </w:pPr>
      <w:r>
        <w:rPr>
          <w:b/>
        </w:rPr>
        <w:t xml:space="preserve">(ii)  </w:t>
      </w:r>
      <w:bookmarkStart w:id="5" w:name="Bookmark__1_b_ii"/>
      <w:bookmarkEnd w:id="5"/>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w:t>
      </w:r>
    </w:p>
    <w:p>
      <w:pPr>
        <w:keepNext w:val="0"/>
        <w:spacing w:before="120" w:after="0" w:line="300" w:lineRule="atLeast"/>
        <w:ind w:left="1800" w:right="0"/>
        <w:jc w:val="left"/>
      </w:pPr>
      <w:r>
        <w:rPr>
          <w:b/>
        </w:rPr>
        <w:t xml:space="preserve">1.  </w:t>
      </w:r>
      <w:bookmarkStart w:id="6" w:name="Bookmark__1_b_ii_1"/>
      <w:bookmarkEnd w:id="6"/>
      <w:r>
        <w:rPr>
          <w:rFonts w:ascii="times" w:eastAsia="times" w:hAnsi="times" w:cs="times"/>
          <w:b w:val="0"/>
          <w:i w:val="0"/>
          <w:strike w:val="0"/>
          <w:noProof w:val="0"/>
          <w:color w:val="000000"/>
          <w:position w:val="0"/>
          <w:sz w:val="24"/>
          <w:u w:val="none"/>
          <w:vertAlign w:val="baseline"/>
        </w:rPr>
        <w:t>Any consumer residing in this state; or</w:t>
      </w:r>
    </w:p>
    <w:p>
      <w:pPr>
        <w:keepNext w:val="0"/>
        <w:spacing w:before="120" w:after="0" w:line="300" w:lineRule="atLeast"/>
        <w:ind w:left="1800" w:right="0"/>
        <w:jc w:val="left"/>
      </w:pPr>
      <w:r>
        <w:rPr>
          <w:b/>
        </w:rPr>
        <w:t xml:space="preserve">2.  </w:t>
      </w:r>
      <w:bookmarkStart w:id="7" w:name="Bookmark__1_b_ii_2"/>
      <w:bookmarkEnd w:id="7"/>
      <w:r>
        <w:rPr>
          <w:rFonts w:ascii="times" w:eastAsia="times" w:hAnsi="times" w:cs="times"/>
          <w:b w:val="0"/>
          <w:i w:val="0"/>
          <w:strike w:val="0"/>
          <w:noProof w:val="0"/>
          <w:color w:val="000000"/>
          <w:position w:val="0"/>
          <w:sz w:val="24"/>
          <w:u w:val="none"/>
          <w:vertAlign w:val="baseline"/>
        </w:rPr>
        <w:t>Any material part of the normal operation(s) of the licensee.</w:t>
      </w:r>
    </w:p>
    <w:p>
      <w:pPr>
        <w:keepNext w:val="0"/>
        <w:spacing w:before="120" w:after="0" w:line="300" w:lineRule="atLeast"/>
        <w:ind w:left="720" w:right="0"/>
        <w:jc w:val="left"/>
      </w:pPr>
      <w:r>
        <w:rPr>
          <w:b/>
        </w:rPr>
        <w:t xml:space="preserve">(2)  </w:t>
      </w:r>
      <w:bookmarkStart w:id="8" w:name="Bookmark__2"/>
      <w:bookmarkEnd w:id="8"/>
      <w:r>
        <w:rPr>
          <w:rFonts w:ascii="times" w:eastAsia="times" w:hAnsi="times" w:cs="times"/>
          <w:b w:val="0"/>
          <w:i w:val="0"/>
          <w:strike w:val="0"/>
          <w:noProof w:val="0"/>
          <w:color w:val="000000"/>
          <w:position w:val="0"/>
          <w:sz w:val="24"/>
          <w:u w:val="none"/>
          <w:vertAlign w:val="baseline"/>
        </w:rPr>
        <w:t xml:space="preserve">The licensee shall provide as much of the following information as possible. The licensee shall provide the information in electronic form as directed by the commissioner. The licensee shall have a continuing obligation to update and supplement initial and subsequent notifications to the commissioner regarding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(a)  </w:t>
      </w:r>
      <w:bookmarkStart w:id="9" w:name="Bookmark__2_a"/>
      <w:bookmarkEnd w:id="9"/>
      <w:r>
        <w:rPr>
          <w:rFonts w:ascii="times" w:eastAsia="times" w:hAnsi="times" w:cs="times"/>
          <w:b w:val="0"/>
          <w:i w:val="0"/>
          <w:strike w:val="0"/>
          <w:noProof w:val="0"/>
          <w:color w:val="000000"/>
          <w:position w:val="0"/>
          <w:sz w:val="24"/>
          <w:u w:val="none"/>
          <w:vertAlign w:val="baseline"/>
        </w:rPr>
        <w:t xml:space="preserve">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10" w:name="Bookmark__2_b"/>
      <w:bookmarkEnd w:id="10"/>
      <w:r>
        <w:rPr>
          <w:rFonts w:ascii="times" w:eastAsia="times" w:hAnsi="times" w:cs="times"/>
          <w:b w:val="0"/>
          <w:i w:val="0"/>
          <w:strike w:val="0"/>
          <w:noProof w:val="0"/>
          <w:color w:val="000000"/>
          <w:position w:val="0"/>
          <w:sz w:val="24"/>
          <w:u w:val="none"/>
          <w:vertAlign w:val="baseline"/>
        </w:rPr>
        <w:t>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(c)  </w:t>
      </w:r>
      <w:bookmarkStart w:id="11" w:name="Bookmark__2_c"/>
      <w:bookmarkEnd w:id="11"/>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(d)  </w:t>
      </w:r>
      <w:bookmarkStart w:id="12" w:name="Bookmark__2_d"/>
      <w:bookmarkEnd w:id="12"/>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(e)  </w:t>
      </w:r>
      <w:bookmarkStart w:id="13" w:name="Bookmark__2_e"/>
      <w:bookmarkEnd w:id="13"/>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(f)  </w:t>
      </w:r>
      <w:bookmarkStart w:id="14" w:name="Bookmark__2_f"/>
      <w:bookmarkEnd w:id="14"/>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such notification was provided;</w:t>
      </w:r>
    </w:p>
    <w:p>
      <w:pPr>
        <w:keepNext w:val="0"/>
        <w:spacing w:before="120" w:after="0" w:line="300" w:lineRule="atLeast"/>
        <w:ind w:left="1080" w:right="0"/>
        <w:jc w:val="left"/>
      </w:pPr>
      <w:r>
        <w:rPr>
          <w:b/>
        </w:rPr>
        <w:t xml:space="preserve">(g)  </w:t>
      </w:r>
      <w:bookmarkStart w:id="15" w:name="Bookmark__2_g"/>
      <w:bookmarkEnd w:id="15"/>
      <w:r>
        <w:rPr>
          <w:rFonts w:ascii="times" w:eastAsia="times" w:hAnsi="times" w:cs="times"/>
          <w:b w:val="0"/>
          <w:i w:val="0"/>
          <w:strike w:val="0"/>
          <w:noProof w:val="0"/>
          <w:color w:val="000000"/>
          <w:position w:val="0"/>
          <w:sz w:val="24"/>
          <w:u w:val="none"/>
          <w:vertAlign w:val="baseline"/>
        </w:rPr>
        <w:t>Description of the specific types of information acquired without authorization. Specific types of information means particular data elements including, for example,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(h)  </w:t>
      </w:r>
      <w:bookmarkStart w:id="16" w:name="Bookmark__2_h"/>
      <w:bookmarkEnd w:id="16"/>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(i)  </w:t>
      </w:r>
      <w:bookmarkStart w:id="17" w:name="Bookmark__2_i"/>
      <w:bookmarkEnd w:id="17"/>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this estimate with each subsequent report to the commissioner pursuant to this section;</w:t>
      </w:r>
    </w:p>
    <w:p>
      <w:pPr>
        <w:keepNext w:val="0"/>
        <w:spacing w:before="120" w:after="0" w:line="300" w:lineRule="atLeast"/>
        <w:ind w:left="1080" w:right="0"/>
        <w:jc w:val="left"/>
      </w:pPr>
      <w:r>
        <w:rPr>
          <w:b/>
        </w:rPr>
        <w:t xml:space="preserve">(j)  </w:t>
      </w:r>
      <w:bookmarkStart w:id="18" w:name="Bookmark__2_j"/>
      <w:bookmarkEnd w:id="18"/>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(k)  </w:t>
      </w:r>
      <w:bookmarkStart w:id="19" w:name="Bookmark__2_k"/>
      <w:bookmarkEnd w:id="19"/>
      <w:r>
        <w:rPr>
          <w:rFonts w:ascii="times" w:eastAsia="times" w:hAnsi="times" w:cs="times"/>
          <w:b w:val="0"/>
          <w:i w:val="0"/>
          <w:strike w:val="0"/>
          <w:noProof w:val="0"/>
          <w:color w:val="000000"/>
          <w:position w:val="0"/>
          <w:sz w:val="24"/>
          <w:u w:val="none"/>
          <w:vertAlign w:val="baseline"/>
        </w:rPr>
        <w:t xml:space="preserve">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(l)  </w:t>
      </w:r>
      <w:bookmarkStart w:id="20" w:name="Bookmark__2_l"/>
      <w:bookmarkEnd w:id="20"/>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(m)  </w:t>
      </w:r>
      <w:bookmarkStart w:id="21" w:name="Bookmark__2_m"/>
      <w:bookmarkEnd w:id="21"/>
      <w:r>
        <w:rPr>
          <w:rFonts w:ascii="times" w:eastAsia="times" w:hAnsi="times" w:cs="times"/>
          <w:b w:val="0"/>
          <w:i w:val="0"/>
          <w:strike w:val="0"/>
          <w:noProof w:val="0"/>
          <w:color w:val="000000"/>
          <w:position w:val="0"/>
          <w:sz w:val="24"/>
          <w:u w:val="none"/>
          <w:vertAlign w:val="baseline"/>
        </w:rPr>
        <w:t xml:space="preserve">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(3)  </w:t>
      </w:r>
      <w:bookmarkStart w:id="22" w:name="Bookmark__3"/>
      <w:bookmarkEnd w:id="22"/>
      <w:r>
        <w:rPr>
          <w:rFonts w:ascii="times" w:eastAsia="times" w:hAnsi="times" w:cs="times"/>
          <w:b w:val="0"/>
          <w:i w:val="0"/>
          <w:strike w:val="0"/>
          <w:noProof w:val="0"/>
          <w:color w:val="000000"/>
          <w:position w:val="0"/>
          <w:sz w:val="24"/>
          <w:u w:val="none"/>
          <w:vertAlign w:val="baseline"/>
        </w:rPr>
        <w:t>Licensee shall comply with Section 75-24-29, as applicable, and provide a copy of the notice sent to consumers under that statute to the commissioner, when a licensee is required to notify the commissioner under subsection (1) of this section.</w:t>
      </w:r>
    </w:p>
    <w:p>
      <w:pPr>
        <w:spacing w:before="120" w:line="240" w:lineRule="atLeast"/>
        <w:ind w:left="720"/>
      </w:pPr>
      <w:r>
        <w:rPr>
          <w:b/>
        </w:rPr>
        <w:t xml:space="preserve">(4)  </w:t>
      </w:r>
      <w:bookmarkStart w:id="23" w:name="Bookmark__4"/>
      <w:bookmarkEnd w:id="23"/>
    </w:p>
    <w:p>
      <w:pPr>
        <w:keepNext w:val="0"/>
        <w:spacing w:before="120" w:after="0" w:line="300" w:lineRule="atLeast"/>
        <w:ind w:left="1080" w:right="0"/>
        <w:jc w:val="left"/>
      </w:pPr>
      <w:r>
        <w:rPr>
          <w:b/>
        </w:rPr>
        <w:t xml:space="preserve">(a)  </w:t>
      </w:r>
      <w:bookmarkStart w:id="24" w:name="Bookmark__4_a"/>
      <w:bookmarkEnd w:id="24"/>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such event as it would under subsection (1) of this section unless the third-party service provider provides the notice required under subsection (1) of this section to the commissioner.</w:t>
      </w:r>
    </w:p>
    <w:p>
      <w:pPr>
        <w:keepNext w:val="0"/>
        <w:spacing w:before="120" w:after="0" w:line="300" w:lineRule="atLeast"/>
        <w:ind w:left="1080" w:right="0"/>
        <w:jc w:val="left"/>
      </w:pPr>
      <w:r>
        <w:rPr>
          <w:b/>
        </w:rPr>
        <w:t xml:space="preserve">(b)  </w:t>
      </w:r>
      <w:bookmarkStart w:id="25" w:name="Bookmark__4_b"/>
      <w:bookmarkEnd w:id="25"/>
      <w:r>
        <w:rPr>
          <w:rFonts w:ascii="times" w:eastAsia="times" w:hAnsi="times" w:cs="times"/>
          <w:b w:val="0"/>
          <w:i w:val="0"/>
          <w:strike w:val="0"/>
          <w:noProof w:val="0"/>
          <w:color w:val="000000"/>
          <w:position w:val="0"/>
          <w:sz w:val="24"/>
          <w:u w:val="none"/>
          <w:vertAlign w:val="baseline"/>
        </w:rPr>
        <w:t xml:space="preserve">The computation of licensee’s deadlines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(c)  </w:t>
      </w:r>
      <w:bookmarkStart w:id="26" w:name="Bookmark__4_c"/>
      <w:bookmarkEnd w:id="26"/>
      <w:r>
        <w:rPr>
          <w:rFonts w:ascii="times" w:eastAsia="times" w:hAnsi="times" w:cs="times"/>
          <w:b w:val="0"/>
          <w:i w:val="0"/>
          <w:strike w:val="0"/>
          <w:noProof w:val="0"/>
          <w:color w:val="000000"/>
          <w:position w:val="0"/>
          <w:sz w:val="24"/>
          <w:u w:val="none"/>
          <w:vertAlign w:val="baseline"/>
        </w:rPr>
        <w:t>Nothing in this article shall prevent or abrogate an agreement between a licensee and another licensee, a third-party service provider or any other party to fulfill any of the investigation requirements imposed under Section 83-5-809 or notice requirements imposed under this section.</w:t>
      </w:r>
    </w:p>
    <w:p>
      <w:pPr>
        <w:spacing w:before="120" w:line="240" w:lineRule="atLeast"/>
        <w:ind w:left="720"/>
      </w:pPr>
      <w:r>
        <w:rPr>
          <w:b/>
        </w:rPr>
        <w:t xml:space="preserve">(5)  </w:t>
      </w:r>
      <w:bookmarkStart w:id="27" w:name="Bookmark__5"/>
      <w:bookmarkEnd w:id="27"/>
    </w:p>
    <w:p>
      <w:pPr>
        <w:spacing w:before="120" w:line="240" w:lineRule="atLeast"/>
        <w:ind w:left="1080"/>
      </w:pPr>
      <w:r>
        <w:rPr>
          <w:b/>
        </w:rPr>
        <w:t xml:space="preserve">(a)  </w:t>
      </w:r>
      <w:bookmarkStart w:id="28" w:name="Bookmark__5_a"/>
      <w:bookmarkEnd w:id="28"/>
    </w:p>
    <w:p>
      <w:pPr>
        <w:keepNext w:val="0"/>
        <w:spacing w:before="120" w:after="0" w:line="300" w:lineRule="atLeast"/>
        <w:ind w:left="1440" w:right="0"/>
        <w:jc w:val="left"/>
      </w:pPr>
      <w:r>
        <w:rPr>
          <w:b/>
        </w:rPr>
        <w:t xml:space="preserve">(i)  </w:t>
      </w:r>
      <w:bookmarkStart w:id="29" w:name="Bookmark__5_a_i"/>
      <w:bookmarkEnd w:id="29"/>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the licensee who is acting as an assuming insurer or in the possession, custody or control of a licensee who is acting as an assuming insurer and that does not have a direct contractual relationship with the affected consumers, the assuming insurer shall notify its affected ceding insurers and the commissioner of its state of domicile within three (3)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(ii)  </w:t>
      </w:r>
      <w:bookmarkStart w:id="30" w:name="Bookmark__5_a_ii"/>
      <w:bookmarkEnd w:id="30"/>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Section 75-24-29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spacing w:before="120" w:line="240" w:lineRule="atLeast"/>
        <w:ind w:left="1080"/>
      </w:pPr>
      <w:r>
        <w:rPr>
          <w:b/>
        </w:rPr>
        <w:t xml:space="preserve">(b)  </w:t>
      </w:r>
      <w:bookmarkStart w:id="31" w:name="Bookmark__5_b"/>
      <w:bookmarkEnd w:id="31"/>
    </w:p>
    <w:p>
      <w:pPr>
        <w:keepNext w:val="0"/>
        <w:spacing w:before="120" w:after="0" w:line="300" w:lineRule="atLeast"/>
        <w:ind w:left="1440" w:right="0"/>
        <w:jc w:val="left"/>
      </w:pPr>
      <w:r>
        <w:rPr>
          <w:b/>
        </w:rPr>
        <w:t xml:space="preserve">(i)  </w:t>
      </w:r>
      <w:bookmarkStart w:id="32" w:name="Bookmark__5_b_i"/>
      <w:bookmarkEnd w:id="3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who is an assuming insurer, the assuming insurer shall notify its affected ceding insurers and the commissioner of its state of domicile within three (3)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(ii)  </w:t>
      </w:r>
      <w:bookmarkStart w:id="33" w:name="Bookmark__5_b_ii"/>
      <w:bookmarkEnd w:id="33"/>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Section 75-24-29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(c)  </w:t>
      </w:r>
      <w:bookmarkStart w:id="34" w:name="Bookmark__5_c"/>
      <w:bookmarkEnd w:id="34"/>
      <w:r>
        <w:rPr>
          <w:rFonts w:ascii="times" w:eastAsia="times" w:hAnsi="times" w:cs="times"/>
          <w:b w:val="0"/>
          <w:i w:val="0"/>
          <w:strike w:val="0"/>
          <w:noProof w:val="0"/>
          <w:color w:val="000000"/>
          <w:position w:val="0"/>
          <w:sz w:val="24"/>
          <w:u w:val="none"/>
          <w:vertAlign w:val="baseline"/>
        </w:rPr>
        <w:t xml:space="preserve">Any licensee acting as assuming insurer shall have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 or any other law of this state.</w:t>
      </w:r>
    </w:p>
    <w:p>
      <w:pPr>
        <w:keepNext w:val="0"/>
        <w:spacing w:before="120" w:after="0" w:line="300" w:lineRule="atLeast"/>
        <w:ind w:left="720" w:right="0"/>
        <w:jc w:val="left"/>
      </w:pPr>
      <w:r>
        <w:rPr>
          <w:b/>
        </w:rPr>
        <w:t xml:space="preserve">(6)  </w:t>
      </w:r>
      <w:bookmarkStart w:id="35" w:name="Bookmark__6"/>
      <w:bookmarkEnd w:id="3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who is an insurer or its third-party service provider for which a consumer accessed the insurer’s services through an independent insurance producer, and for which consumer notice is required under Section 75-24-29, the insurer shall notify the producers of record of all affected consumers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the time at which notice is provided to the affected consumers. The insurer is excused from this obligation for any producers who are not authorized by law or contract to sell, solicit or negotiate on behalf of the insurer, and in those instances in which the insurer does not have the current producer of record information for any individual consumer.</w:t>
      </w:r>
    </w:p>
    <w:p>
      <w:pPr>
        <w:keepNext/>
        <w:spacing w:before="240" w:after="0" w:line="340" w:lineRule="atLeast"/>
        <w:ind w:left="0" w:right="0" w:firstLine="0"/>
        <w:jc w:val="left"/>
      </w:pPr>
      <w:bookmarkStart w:id="36" w:name="History"/>
      <w:bookmarkEnd w:id="3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2019, ch. 448, § 6, eff from and after July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83-5-811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83-5-811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W7J-8VN2-8T6X-715B-00000-00">
    <vt:lpwstr>Doc::/shared/document|contextualFeaturePermID::1516831</vt:lpwstr>
  </property>
  <property fmtid="{D5CDD505-2E9C-101B-9397-08002B2CF9AE}" pid="5" name="UserPermID">
    <vt:lpwstr>urn:user:PA186163333</vt:lpwstr>
  </property>
</Properties>
</file>