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75-26-3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75. Regulation of Trade, Commerce and Investments (Chs. 1 — 97)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Mississippi Uniform Trade Secrets Act (§§ 75-26-1 — 75-26-19)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75-26-3.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requires otherwise:</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(i)  </w:t>
      </w:r>
      <w:bookmarkStart w:id="3" w:name="Bookmark__b_i"/>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(ii)  </w:t>
      </w:r>
      <w:bookmarkStart w:id="4" w:name="Bookmark__b_ii"/>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1.  </w:t>
      </w:r>
      <w:bookmarkStart w:id="5" w:name="Bookmark__b_ii_1"/>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2.  </w:t>
      </w:r>
      <w:bookmarkStart w:id="6" w:name="Bookmark__b_ii_2"/>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his knowledge of the trade secret was:</w:t>
      </w:r>
    </w:p>
    <w:p>
      <w:pPr>
        <w:keepNext w:val="0"/>
        <w:spacing w:before="120" w:after="0" w:line="300" w:lineRule="atLeast"/>
        <w:ind w:left="2160" w:right="0"/>
        <w:jc w:val="left"/>
      </w:pPr>
      <w:r>
        <w:rPr>
          <w:b/>
        </w:rPr>
        <w:t xml:space="preserve">a.  </w:t>
      </w:r>
      <w:bookmarkStart w:id="7" w:name="Bookmark__b_ii_2_a"/>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b.  </w:t>
      </w:r>
      <w:bookmarkStart w:id="8" w:name="Bookmark__b_ii_2_b"/>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c.  </w:t>
      </w:r>
      <w:bookmarkStart w:id="9" w:name="Bookmark__b_ii_2_c"/>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limits its use; or</w:t>
      </w:r>
    </w:p>
    <w:p>
      <w:pPr>
        <w:keepNext w:val="0"/>
        <w:spacing w:before="120" w:after="0" w:line="300" w:lineRule="atLeast"/>
        <w:ind w:left="1800" w:right="0"/>
        <w:jc w:val="left"/>
      </w:pPr>
      <w:r>
        <w:rPr>
          <w:b/>
        </w:rPr>
        <w:t xml:space="preserve">3.  </w:t>
      </w:r>
      <w:bookmarkStart w:id="10" w:name="Bookmark__b_ii_3"/>
      <w:bookmarkEnd w:id="10"/>
      <w:r>
        <w:rPr>
          <w:rFonts w:ascii="times" w:eastAsia="times" w:hAnsi="times" w:cs="times"/>
          <w:b w:val="0"/>
          <w:i w:val="0"/>
          <w:strike w:val="0"/>
          <w:noProof w:val="0"/>
          <w:color w:val="000000"/>
          <w:position w:val="0"/>
          <w:sz w:val="24"/>
          <w:u w:val="none"/>
          <w:vertAlign w:val="baseline"/>
        </w:rPr>
        <w:t>Before a material change of his or her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(c)  </w:t>
      </w:r>
      <w:bookmarkStart w:id="11" w:name="Bookmark__c"/>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(d)  </w:t>
      </w:r>
      <w:bookmarkStart w:id="12" w:name="Bookmark__d"/>
      <w:bookmarkEnd w:id="12"/>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(i)  </w:t>
      </w:r>
      <w:bookmarkStart w:id="13" w:name="Bookmark__d_i"/>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(ii)  </w:t>
      </w:r>
      <w:bookmarkStart w:id="14" w:name="Bookmark__d_ii"/>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1990, ch. 442, § 2, eff from and after July 1, 1990.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75-26-3.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75-26-3.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222389044</vt:lpwstr>
  </property>
  <property fmtid="{D5CDD505-2E9C-101B-9397-08002B2CF9AE}" pid="3" name="LADocCount">
    <vt:lpwstr>1</vt:lpwstr>
  </property>
  <property fmtid="{D5CDD505-2E9C-101B-9397-08002B2CF9AE}" pid="4" name="LADocumentID:urn:contentItem:8P6B-8782-8T6X-74Y4-00000-00">
    <vt:lpwstr>Doc::/shared/document|contextualFeaturePermID::1516831</vt:lpwstr>
  </property>
  <property fmtid="{D5CDD505-2E9C-101B-9397-08002B2CF9AE}" pid="5" name="UserPermID">
    <vt:lpwstr>urn:user:PA186163333</vt:lpwstr>
  </property>
</Properties>
</file>