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5B93C" w14:textId="77777777" w:rsidR="00695142" w:rsidRDefault="00695142">
      <w:pPr>
        <w:sectPr w:rsidR="00695142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4DBFDA22" w14:textId="77777777" w:rsidR="00695142" w:rsidRDefault="00695142"/>
    <w:p w14:paraId="5420320D" w14:textId="77777777" w:rsidR="00695142" w:rsidRDefault="00911E46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>30-14-1729, MCA</w:t>
      </w:r>
    </w:p>
    <w:p w14:paraId="722D1102" w14:textId="77777777" w:rsidR="00695142" w:rsidRDefault="00911E46">
      <w:pPr>
        <w:spacing w:before="120" w:line="300" w:lineRule="atLeast"/>
        <w:jc w:val="center"/>
      </w:pPr>
      <w:r>
        <w:rPr>
          <w:color w:val="000000"/>
        </w:rPr>
        <w:t>Current through all 2023 legislation, inclusive of the final Chapter 783 of the 68th Legislature's concluded Regular session.</w:t>
      </w:r>
    </w:p>
    <w:p w14:paraId="45F27655" w14:textId="77777777" w:rsidR="00695142" w:rsidRDefault="00695142">
      <w:pPr>
        <w:spacing w:line="240" w:lineRule="atLeast"/>
        <w:jc w:val="both"/>
      </w:pPr>
      <w:bookmarkStart w:id="1" w:name="Bookmark_17"/>
      <w:bookmarkEnd w:id="1"/>
    </w:p>
    <w:p w14:paraId="01B2776B" w14:textId="77777777" w:rsidR="00695142" w:rsidRDefault="00911E46">
      <w:pPr>
        <w:spacing w:before="200" w:line="280" w:lineRule="atLeast"/>
      </w:pPr>
      <w:r>
        <w:rPr>
          <w:b/>
          <w:i/>
          <w:color w:val="000000"/>
          <w:sz w:val="22"/>
        </w:rPr>
        <w:t xml:space="preserve">LexisNexis® Montana Code Annotated 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30 Trade and Commerce (Chs. 1 — 23)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Chapter 1</w:t>
      </w:r>
      <w:r>
        <w:rPr>
          <w:b/>
          <w:i/>
          <w:color w:val="000000"/>
          <w:sz w:val="22"/>
        </w:rPr>
        <w:t>4 Unfair Trade Practices and Consumer Protection (Pts. 1 — 28)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Part 17 Impediment of Identity Theft (§§ 30-14-1701 — 30-14-1736)</w:t>
      </w:r>
    </w:p>
    <w:p w14:paraId="369C03DC" w14:textId="77777777" w:rsidR="00695142" w:rsidRDefault="00911E46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30-14-1729 Temporary lifting of security freeze — consumer requirements — consumer reporting agency duties — notification.</w:t>
      </w:r>
    </w:p>
    <w:p w14:paraId="1A4CED69" w14:textId="59B02D6F" w:rsidR="00695142" w:rsidRDefault="00911E46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F2762B" wp14:editId="3A794746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20955" r="15875" b="1714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E9EBF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143CA180" w14:textId="77777777" w:rsidR="00695142" w:rsidRDefault="00695142"/>
    <w:p w14:paraId="750C627F" w14:textId="77777777" w:rsidR="00695142" w:rsidRDefault="00911E46">
      <w:pPr>
        <w:spacing w:before="120" w:line="300" w:lineRule="atLeast"/>
        <w:ind w:left="720"/>
      </w:pPr>
      <w:r>
        <w:rPr>
          <w:b/>
        </w:rPr>
        <w:t xml:space="preserve">(1)  </w:t>
      </w:r>
      <w:bookmarkStart w:id="2" w:name="Bookmark__1"/>
      <w:bookmarkEnd w:id="2"/>
      <w:r>
        <w:rPr>
          <w:color w:val="000000"/>
        </w:rPr>
        <w:t>A consumer who wishes to allow access to the consumer’s own credit report by a specific party or for a specific period of time while a security freeze is in place shall contact each consumer reporting agency, using a point of contact designated by</w:t>
      </w:r>
      <w:r>
        <w:rPr>
          <w:color w:val="000000"/>
        </w:rPr>
        <w:t xml:space="preserve"> the consumer reporting agency by regular or certified mail, telephone, or a secure electronic connection, request that the security freeze be temporarily lifted, and provide all of the following:</w:t>
      </w:r>
    </w:p>
    <w:p w14:paraId="772B8869" w14:textId="77777777" w:rsidR="00695142" w:rsidRDefault="00911E46">
      <w:pPr>
        <w:spacing w:before="120" w:line="300" w:lineRule="atLeast"/>
        <w:ind w:left="1080"/>
      </w:pPr>
      <w:r>
        <w:rPr>
          <w:b/>
        </w:rPr>
        <w:t xml:space="preserve">(a)  </w:t>
      </w:r>
      <w:bookmarkStart w:id="3" w:name="Bookmark__1_a"/>
      <w:bookmarkEnd w:id="3"/>
      <w:r>
        <w:rPr>
          <w:color w:val="000000"/>
        </w:rPr>
        <w:t>proper identification;</w:t>
      </w:r>
    </w:p>
    <w:p w14:paraId="5C1D2219" w14:textId="77777777" w:rsidR="00695142" w:rsidRDefault="00911E46">
      <w:pPr>
        <w:spacing w:before="120" w:line="300" w:lineRule="atLeast"/>
        <w:ind w:left="1080"/>
      </w:pPr>
      <w:r>
        <w:rPr>
          <w:b/>
        </w:rPr>
        <w:t xml:space="preserve">(b)  </w:t>
      </w:r>
      <w:bookmarkStart w:id="4" w:name="Bookmark__1_b"/>
      <w:bookmarkEnd w:id="4"/>
      <w:r>
        <w:rPr>
          <w:color w:val="000000"/>
        </w:rPr>
        <w:t>the unique personal identi</w:t>
      </w:r>
      <w:r>
        <w:rPr>
          <w:color w:val="000000"/>
        </w:rPr>
        <w:t>fication number, password, or device provided by the consumer reporting agency pursuant to 30-14-1728(3);</w:t>
      </w:r>
    </w:p>
    <w:p w14:paraId="64B1FFF5" w14:textId="77777777" w:rsidR="00695142" w:rsidRDefault="00911E46">
      <w:pPr>
        <w:spacing w:before="120" w:line="300" w:lineRule="atLeast"/>
        <w:ind w:left="1080"/>
      </w:pPr>
      <w:r>
        <w:rPr>
          <w:b/>
        </w:rPr>
        <w:t xml:space="preserve">(c)  </w:t>
      </w:r>
      <w:bookmarkStart w:id="5" w:name="Bookmark__1_c"/>
      <w:bookmarkEnd w:id="5"/>
      <w:r>
        <w:rPr>
          <w:color w:val="000000"/>
        </w:rPr>
        <w:t xml:space="preserve">the proper information regarding the third party who is to receive the credit report or the time period for which the credit report is to be </w:t>
      </w:r>
      <w:r>
        <w:rPr>
          <w:color w:val="000000"/>
        </w:rPr>
        <w:t>available to users of the credit report; and</w:t>
      </w:r>
    </w:p>
    <w:p w14:paraId="1BB542E8" w14:textId="77777777" w:rsidR="00695142" w:rsidRDefault="00911E46">
      <w:pPr>
        <w:spacing w:before="120" w:line="300" w:lineRule="atLeast"/>
        <w:ind w:left="1080"/>
      </w:pPr>
      <w:r>
        <w:rPr>
          <w:b/>
        </w:rPr>
        <w:t xml:space="preserve">(d)  </w:t>
      </w:r>
      <w:bookmarkStart w:id="6" w:name="Bookmark__1_d"/>
      <w:bookmarkEnd w:id="6"/>
      <w:r>
        <w:rPr>
          <w:color w:val="000000"/>
        </w:rPr>
        <w:t>a fee, if applicable.</w:t>
      </w:r>
    </w:p>
    <w:p w14:paraId="13D47D26" w14:textId="77777777" w:rsidR="00695142" w:rsidRDefault="00911E46">
      <w:pPr>
        <w:spacing w:before="120" w:line="240" w:lineRule="atLeast"/>
        <w:ind w:left="720"/>
      </w:pPr>
      <w:r>
        <w:rPr>
          <w:b/>
        </w:rPr>
        <w:t xml:space="preserve">(2)  </w:t>
      </w:r>
      <w:bookmarkStart w:id="7" w:name="Bookmark__2"/>
      <w:bookmarkEnd w:id="7"/>
    </w:p>
    <w:p w14:paraId="59D1DD7D" w14:textId="77777777" w:rsidR="00695142" w:rsidRDefault="00911E46">
      <w:pPr>
        <w:spacing w:before="120" w:line="300" w:lineRule="atLeast"/>
        <w:ind w:left="1080"/>
      </w:pPr>
      <w:r>
        <w:rPr>
          <w:b/>
        </w:rPr>
        <w:t xml:space="preserve">(a)  </w:t>
      </w:r>
      <w:bookmarkStart w:id="8" w:name="Bookmark__2_a"/>
      <w:bookmarkEnd w:id="8"/>
      <w:r>
        <w:rPr>
          <w:color w:val="000000"/>
        </w:rPr>
        <w:t>Except as provided in subsection (2)(b), a consumer reporting agency that receives a request from a consumer to temporarily lift a security freeze on a credit report as prov</w:t>
      </w:r>
      <w:r>
        <w:rPr>
          <w:color w:val="000000"/>
        </w:rPr>
        <w:t>ided in subsection (1) shall comply with the request no later than 3 business days after receiving the request.</w:t>
      </w:r>
    </w:p>
    <w:p w14:paraId="632AF793" w14:textId="77777777" w:rsidR="00695142" w:rsidRDefault="00911E46">
      <w:pPr>
        <w:spacing w:before="120" w:line="300" w:lineRule="atLeast"/>
        <w:ind w:left="1080"/>
      </w:pPr>
      <w:r>
        <w:rPr>
          <w:b/>
        </w:rPr>
        <w:t xml:space="preserve">(b)  </w:t>
      </w:r>
      <w:bookmarkStart w:id="9" w:name="Bookmark__2_b"/>
      <w:bookmarkEnd w:id="9"/>
      <w:r>
        <w:rPr>
          <w:color w:val="000000"/>
        </w:rPr>
        <w:t>By no later than January 31, 2009, a consumer reporting agency shall honor a request for the temporary lifting of a security freeze made by</w:t>
      </w:r>
      <w:r>
        <w:rPr>
          <w:color w:val="000000"/>
        </w:rPr>
        <w:t xml:space="preserve"> telephone or through a secure electronic connection designated by the consumer reporting agency within 15 minutes of receiving the request unless one of the following circumstances applies:</w:t>
      </w:r>
    </w:p>
    <w:p w14:paraId="0268A337" w14:textId="77777777" w:rsidR="00695142" w:rsidRDefault="00911E46">
      <w:pPr>
        <w:spacing w:before="120" w:line="300" w:lineRule="atLeast"/>
        <w:ind w:left="1440"/>
      </w:pPr>
      <w:r>
        <w:rPr>
          <w:b/>
        </w:rPr>
        <w:t xml:space="preserve">(i)  </w:t>
      </w:r>
      <w:bookmarkStart w:id="10" w:name="Bookmark__2_b_i"/>
      <w:bookmarkEnd w:id="10"/>
      <w:r>
        <w:rPr>
          <w:color w:val="000000"/>
        </w:rPr>
        <w:t>the consumer fails to meet the requirements of subsections (</w:t>
      </w:r>
      <w:r>
        <w:rPr>
          <w:color w:val="000000"/>
        </w:rPr>
        <w:t>1)(a) through (1)(c); or</w:t>
      </w:r>
    </w:p>
    <w:p w14:paraId="034A1C2C" w14:textId="77777777" w:rsidR="00695142" w:rsidRDefault="00911E46">
      <w:pPr>
        <w:spacing w:before="120" w:line="300" w:lineRule="atLeast"/>
        <w:ind w:left="1440"/>
      </w:pPr>
      <w:r>
        <w:rPr>
          <w:b/>
        </w:rPr>
        <w:t xml:space="preserve">(ii)  </w:t>
      </w:r>
      <w:bookmarkStart w:id="11" w:name="Bookmark__2_b_ii"/>
      <w:bookmarkEnd w:id="11"/>
      <w:r>
        <w:rPr>
          <w:color w:val="000000"/>
        </w:rPr>
        <w:t>the consumer reporting agency’s ability to remove the security freeze within 15 minutes is prevented by:</w:t>
      </w:r>
    </w:p>
    <w:p w14:paraId="4D277763" w14:textId="77777777" w:rsidR="00695142" w:rsidRDefault="00911E46">
      <w:pPr>
        <w:spacing w:before="120" w:line="300" w:lineRule="atLeast"/>
        <w:ind w:left="1800"/>
      </w:pPr>
      <w:r>
        <w:rPr>
          <w:b/>
        </w:rPr>
        <w:t xml:space="preserve">(A)  </w:t>
      </w:r>
      <w:bookmarkStart w:id="12" w:name="Bookmark__2_b_ii_a"/>
      <w:bookmarkEnd w:id="12"/>
      <w:r>
        <w:rPr>
          <w:color w:val="000000"/>
        </w:rPr>
        <w:t>a natural disaster or act of God, including fire, earthquake, or hurricane;</w:t>
      </w:r>
    </w:p>
    <w:p w14:paraId="7E1BF2AA" w14:textId="77777777" w:rsidR="00695142" w:rsidRDefault="00911E46">
      <w:pPr>
        <w:spacing w:before="120" w:line="300" w:lineRule="atLeast"/>
        <w:ind w:left="1800"/>
      </w:pPr>
      <w:r>
        <w:rPr>
          <w:b/>
        </w:rPr>
        <w:t xml:space="preserve">(B)  </w:t>
      </w:r>
      <w:bookmarkStart w:id="13" w:name="Bookmark__2_b_ii_b"/>
      <w:bookmarkEnd w:id="13"/>
      <w:r>
        <w:rPr>
          <w:color w:val="000000"/>
        </w:rPr>
        <w:t xml:space="preserve">unauthorized or illegal acts by a </w:t>
      </w:r>
      <w:r>
        <w:rPr>
          <w:color w:val="000000"/>
        </w:rPr>
        <w:t>third party, including terrorism, sabotage, riot, vandalism, or a labor strike or similar labor dispute disrupting operations;</w:t>
      </w:r>
    </w:p>
    <w:p w14:paraId="113956ED" w14:textId="77777777" w:rsidR="00695142" w:rsidRDefault="00911E46">
      <w:pPr>
        <w:spacing w:before="120" w:line="300" w:lineRule="atLeast"/>
        <w:ind w:left="1800"/>
      </w:pPr>
      <w:r>
        <w:rPr>
          <w:b/>
        </w:rPr>
        <w:lastRenderedPageBreak/>
        <w:t xml:space="preserve">(C)  </w:t>
      </w:r>
      <w:bookmarkStart w:id="14" w:name="Bookmark__2_b_ii_c"/>
      <w:bookmarkEnd w:id="14"/>
      <w:r>
        <w:rPr>
          <w:color w:val="000000"/>
        </w:rPr>
        <w:t>operational interruption, including electrical failure, unanticipated delay in equipment or replacement part delivery, or co</w:t>
      </w:r>
      <w:r>
        <w:rPr>
          <w:color w:val="000000"/>
        </w:rPr>
        <w:t>mputer hardware or software failures inhibiting response time;</w:t>
      </w:r>
    </w:p>
    <w:p w14:paraId="5FC87C9D" w14:textId="77777777" w:rsidR="00695142" w:rsidRDefault="00911E46">
      <w:pPr>
        <w:spacing w:before="120" w:line="300" w:lineRule="atLeast"/>
        <w:ind w:left="1800"/>
      </w:pPr>
      <w:r>
        <w:rPr>
          <w:b/>
        </w:rPr>
        <w:t xml:space="preserve">(D)  </w:t>
      </w:r>
      <w:bookmarkStart w:id="15" w:name="Bookmark__2_b_ii_d"/>
      <w:bookmarkEnd w:id="15"/>
      <w:r>
        <w:rPr>
          <w:color w:val="000000"/>
        </w:rPr>
        <w:t>governmental action, including emergency orders or regulations or judicial or law enforcement action;</w:t>
      </w:r>
    </w:p>
    <w:p w14:paraId="29618DEB" w14:textId="77777777" w:rsidR="00695142" w:rsidRDefault="00911E46">
      <w:pPr>
        <w:spacing w:before="120" w:line="300" w:lineRule="atLeast"/>
        <w:ind w:left="1800"/>
      </w:pPr>
      <w:r>
        <w:rPr>
          <w:b/>
        </w:rPr>
        <w:t xml:space="preserve">(E)  </w:t>
      </w:r>
      <w:bookmarkStart w:id="16" w:name="Bookmark__2_b_ii_e"/>
      <w:bookmarkEnd w:id="16"/>
      <w:r>
        <w:rPr>
          <w:color w:val="000000"/>
        </w:rPr>
        <w:t>receipt of a removal request outside of normal business hours; or</w:t>
      </w:r>
    </w:p>
    <w:p w14:paraId="1E8E4604" w14:textId="77777777" w:rsidR="00695142" w:rsidRDefault="00911E46">
      <w:pPr>
        <w:spacing w:before="120" w:line="300" w:lineRule="atLeast"/>
        <w:ind w:left="1800"/>
      </w:pPr>
      <w:r>
        <w:rPr>
          <w:b/>
        </w:rPr>
        <w:t xml:space="preserve">(F)  </w:t>
      </w:r>
      <w:bookmarkStart w:id="17" w:name="Bookmark__2_b_ii_f"/>
      <w:bookmarkEnd w:id="17"/>
      <w:r>
        <w:rPr>
          <w:color w:val="000000"/>
        </w:rPr>
        <w:t>maintenanc</w:t>
      </w:r>
      <w:r>
        <w:rPr>
          <w:color w:val="000000"/>
        </w:rPr>
        <w:t>e of, updates to, or repair of the consumer reporting agency’s systems, whether regularly scheduled or unexpected or unscheduled.</w:t>
      </w:r>
    </w:p>
    <w:p w14:paraId="5320D288" w14:textId="77777777" w:rsidR="00695142" w:rsidRDefault="00911E46">
      <w:pPr>
        <w:spacing w:before="120" w:line="300" w:lineRule="atLeast"/>
        <w:ind w:left="1080"/>
      </w:pPr>
      <w:r>
        <w:rPr>
          <w:b/>
        </w:rPr>
        <w:t xml:space="preserve">(c)  </w:t>
      </w:r>
      <w:bookmarkStart w:id="18" w:name="Bookmark__2_c"/>
      <w:bookmarkEnd w:id="18"/>
      <w:r>
        <w:rPr>
          <w:color w:val="000000"/>
        </w:rPr>
        <w:t xml:space="preserve">For the purposes of this section, “normal business hours” means from 6 a.m. to 9:30 p.m., mountain daylight time, 7 days </w:t>
      </w:r>
      <w:r>
        <w:rPr>
          <w:color w:val="000000"/>
        </w:rPr>
        <w:t>a week, excluding holidays.</w:t>
      </w:r>
    </w:p>
    <w:p w14:paraId="2D398566" w14:textId="77777777" w:rsidR="00695142" w:rsidRDefault="00911E46">
      <w:pPr>
        <w:spacing w:before="120" w:line="300" w:lineRule="atLeast"/>
        <w:ind w:left="720"/>
      </w:pPr>
      <w:r>
        <w:rPr>
          <w:b/>
        </w:rPr>
        <w:t xml:space="preserve">(3)  </w:t>
      </w:r>
      <w:bookmarkStart w:id="19" w:name="Bookmark__3"/>
      <w:bookmarkEnd w:id="19"/>
      <w:r>
        <w:rPr>
          <w:color w:val="000000"/>
        </w:rPr>
        <w:t>A consumer reporting agency shall:</w:t>
      </w:r>
    </w:p>
    <w:p w14:paraId="12BF534E" w14:textId="77777777" w:rsidR="00695142" w:rsidRDefault="00911E46">
      <w:pPr>
        <w:spacing w:before="120" w:line="300" w:lineRule="atLeast"/>
        <w:ind w:left="1080"/>
      </w:pPr>
      <w:r>
        <w:rPr>
          <w:b/>
        </w:rPr>
        <w:t xml:space="preserve">(a)  </w:t>
      </w:r>
      <w:bookmarkStart w:id="20" w:name="Bookmark__3_a"/>
      <w:bookmarkEnd w:id="20"/>
      <w:r>
        <w:rPr>
          <w:color w:val="000000"/>
        </w:rPr>
        <w:t>designate the contact address and telephone number along with a telefax number or appropriate electronic access address when providing the unique personal identification number, passw</w:t>
      </w:r>
      <w:r>
        <w:rPr>
          <w:color w:val="000000"/>
        </w:rPr>
        <w:t>ord, or other device as provided in 30-14-1728(3); and</w:t>
      </w:r>
    </w:p>
    <w:p w14:paraId="50EB821F" w14:textId="77777777" w:rsidR="00695142" w:rsidRDefault="00911E46">
      <w:pPr>
        <w:spacing w:before="120" w:line="300" w:lineRule="atLeast"/>
        <w:ind w:left="1080"/>
      </w:pPr>
      <w:r>
        <w:rPr>
          <w:b/>
        </w:rPr>
        <w:t xml:space="preserve">(b)  </w:t>
      </w:r>
      <w:bookmarkStart w:id="21" w:name="Bookmark__3_b"/>
      <w:bookmarkEnd w:id="21"/>
      <w:r>
        <w:rPr>
          <w:color w:val="000000"/>
        </w:rPr>
        <w:t>develop procedures to implement this section by January 31, 2009, involving the use of telephone, telefax, or electronic connection, using a process for legally required notices provided for in th</w:t>
      </w:r>
      <w:r>
        <w:rPr>
          <w:color w:val="000000"/>
        </w:rPr>
        <w:t>e Electronic Signatures in Global and National Commerce Act, 15 U.S.C. 7001.</w:t>
      </w:r>
    </w:p>
    <w:p w14:paraId="75EBAE3C" w14:textId="77777777" w:rsidR="00695142" w:rsidRDefault="00911E46">
      <w:pPr>
        <w:spacing w:before="120" w:line="300" w:lineRule="atLeast"/>
        <w:ind w:left="720"/>
      </w:pPr>
      <w:r>
        <w:rPr>
          <w:b/>
        </w:rPr>
        <w:t xml:space="preserve">(4)  </w:t>
      </w:r>
      <w:bookmarkStart w:id="22" w:name="Bookmark__4"/>
      <w:bookmarkEnd w:id="22"/>
      <w:r>
        <w:rPr>
          <w:color w:val="000000"/>
        </w:rPr>
        <w:t xml:space="preserve">Only the attorney general may enforce the provisions of this section related to a failure to comply with the 15-minute requirement for the temporary lifting of a security </w:t>
      </w:r>
      <w:r>
        <w:rPr>
          <w:color w:val="000000"/>
        </w:rPr>
        <w:t>freeze.</w:t>
      </w:r>
    </w:p>
    <w:p w14:paraId="6D881EDE" w14:textId="77777777" w:rsidR="00695142" w:rsidRDefault="00911E46">
      <w:pPr>
        <w:keepNext/>
        <w:spacing w:before="240" w:line="340" w:lineRule="atLeast"/>
      </w:pPr>
      <w:bookmarkStart w:id="23" w:name="History"/>
      <w:bookmarkEnd w:id="23"/>
      <w:r>
        <w:rPr>
          <w:b/>
          <w:color w:val="000000"/>
          <w:sz w:val="28"/>
        </w:rPr>
        <w:t>History</w:t>
      </w:r>
    </w:p>
    <w:p w14:paraId="1A151A38" w14:textId="02CB7B6E" w:rsidR="00695142" w:rsidRDefault="00911E46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C17C8" wp14:editId="54C0C828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2700" r="15875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FB993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369B9BA7" w14:textId="77777777" w:rsidR="00695142" w:rsidRDefault="00695142"/>
    <w:p w14:paraId="0AAF302F" w14:textId="77777777" w:rsidR="00695142" w:rsidRDefault="00911E46">
      <w:pPr>
        <w:spacing w:before="120" w:line="300" w:lineRule="atLeast"/>
      </w:pPr>
      <w:r>
        <w:rPr>
          <w:color w:val="000000"/>
        </w:rPr>
        <w:t>En. Sec. 4, Ch. 138, L. 2007; § 2, Ch. 447, L. 2021, effective October 1, 2021.</w:t>
      </w:r>
    </w:p>
    <w:p w14:paraId="7DD83EBB" w14:textId="77777777" w:rsidR="00695142" w:rsidRDefault="00911E46">
      <w:pPr>
        <w:spacing w:before="120" w:line="260" w:lineRule="atLeast"/>
      </w:pPr>
      <w:r>
        <w:br/>
      </w:r>
      <w:r>
        <w:rPr>
          <w:color w:val="000000"/>
          <w:sz w:val="20"/>
        </w:rPr>
        <w:t xml:space="preserve">LexisNexis® Montana Code Annotated </w:t>
      </w:r>
    </w:p>
    <w:p w14:paraId="6BEB8CF5" w14:textId="77777777" w:rsidR="00695142" w:rsidRDefault="00911E46">
      <w:pPr>
        <w:spacing w:line="260" w:lineRule="atLeast"/>
      </w:pPr>
      <w:r>
        <w:rPr>
          <w:color w:val="000000"/>
          <w:sz w:val="20"/>
        </w:rPr>
        <w:t>Copyright © 2024 All rights reserved.</w:t>
      </w:r>
    </w:p>
    <w:p w14:paraId="468B8B1D" w14:textId="77777777" w:rsidR="00695142" w:rsidRDefault="00695142"/>
    <w:p w14:paraId="7264B7F7" w14:textId="2C4C89C4" w:rsidR="00695142" w:rsidRDefault="00911E46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90410" wp14:editId="7B9F60AB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8255" r="6350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1891F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695142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7943C" w14:textId="77777777" w:rsidR="00000000" w:rsidRDefault="00911E46">
      <w:r>
        <w:separator/>
      </w:r>
    </w:p>
  </w:endnote>
  <w:endnote w:type="continuationSeparator" w:id="0">
    <w:p w14:paraId="7EBE2318" w14:textId="77777777" w:rsidR="00000000" w:rsidRDefault="0091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695142" w14:paraId="3F908C69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01E3BA50" w14:textId="77777777" w:rsidR="00695142" w:rsidRDefault="00695142"/>
      </w:tc>
      <w:tc>
        <w:tcPr>
          <w:tcW w:w="4880" w:type="dxa"/>
          <w:tcMar>
            <w:top w:w="200" w:type="dxa"/>
          </w:tcMar>
          <w:vAlign w:val="center"/>
        </w:tcPr>
        <w:p w14:paraId="186F3774" w14:textId="77777777" w:rsidR="00695142" w:rsidRDefault="00695142"/>
      </w:tc>
      <w:tc>
        <w:tcPr>
          <w:tcW w:w="2600" w:type="dxa"/>
          <w:tcMar>
            <w:top w:w="200" w:type="dxa"/>
          </w:tcMar>
          <w:vAlign w:val="center"/>
        </w:tcPr>
        <w:p w14:paraId="7DAF0CF2" w14:textId="77777777" w:rsidR="00695142" w:rsidRDefault="00695142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3A12F" w14:textId="77777777" w:rsidR="00695142" w:rsidRDefault="00911E46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64B0E" w14:textId="77777777" w:rsidR="00000000" w:rsidRDefault="00911E46">
      <w:r>
        <w:separator/>
      </w:r>
    </w:p>
  </w:footnote>
  <w:footnote w:type="continuationSeparator" w:id="0">
    <w:p w14:paraId="3D1F5154" w14:textId="77777777" w:rsidR="00000000" w:rsidRDefault="00911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695142" w14:paraId="41E5AEE9" w14:textId="77777777">
      <w:trPr>
        <w:jc w:val="center"/>
      </w:trPr>
      <w:tc>
        <w:tcPr>
          <w:tcW w:w="10080" w:type="dxa"/>
          <w:vAlign w:val="center"/>
        </w:tcPr>
        <w:p w14:paraId="64A8FC58" w14:textId="540FB3BC" w:rsidR="00695142" w:rsidRDefault="00911E46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  <w:tr w:rsidR="00695142" w14:paraId="314690C6" w14:textId="77777777">
      <w:trPr>
        <w:jc w:val="center"/>
      </w:trPr>
      <w:tc>
        <w:tcPr>
          <w:tcW w:w="10080" w:type="dxa"/>
        </w:tcPr>
        <w:p w14:paraId="2373EC8D" w14:textId="77777777" w:rsidR="00695142" w:rsidRDefault="00911E46">
          <w:pPr>
            <w:spacing w:before="60" w:after="200"/>
            <w:jc w:val="center"/>
          </w:pPr>
          <w:r>
            <w:rPr>
              <w:sz w:val="20"/>
            </w:rPr>
            <w:t>30-14-1729 Temporary lifting of security freeze — consumer requirements — consumer reporting agency duties — notification.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695142"/>
    <w:rsid w:val="00911E46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84FA28F"/>
  <w15:docId w15:val="{58C13433-EE90-4275-A002-C7967FC5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C499496B-5996-43DA-B66A-8297ECEAD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A2AB0-352C-45B6-99B3-3FE8A9609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CB3D5-0012-41AB-B00C-57D3C445DAB7}">
  <ds:schemaRefs>
    <ds:schemaRef ds:uri="http://purl.org/dc/terms/"/>
    <ds:schemaRef ds:uri="http://schemas.microsoft.com/office/2006/documentManagement/types"/>
    <ds:schemaRef ds:uri="4e6a8aeb-c29e-4a8a-85db-b95bdfea3467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55d6ef15-79d8-436f-a155-0c3446167541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3412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30-14-1729 Temporary lifting of security freeze — consumer requirements — consumer reporting agency duties — notification.</vt:lpstr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30-14-1729 Temporary lifting of security freeze — consumer requirements — consumer reporting agency duties — notification.</dc:title>
  <dc:creator>Trayce Hockstad</dc:creator>
  <cp:lastModifiedBy>Trayce Hockstad</cp:lastModifiedBy>
  <cp:revision>2</cp:revision>
  <dcterms:created xsi:type="dcterms:W3CDTF">2024-06-11T18:52:00Z</dcterms:created>
  <dcterms:modified xsi:type="dcterms:W3CDTF">2024-06-11T18:52:00Z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62WC-YSH3-GXJ9-32MJ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