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30-14-403, MCA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all 2023 legislation, inclusive of the final Chapter 783 of the 68th Legislature's concluded Regular session.</w:t>
      </w:r>
    </w:p>
    <w:p>
      <w:pPr>
        <w:keepNext w:val="0"/>
        <w:spacing w:after="0" w:line="240" w:lineRule="atLeast"/>
        <w:ind w:right="0"/>
        <w:jc w:val="both"/>
      </w:pPr>
      <w:bookmarkStart w:id="0" w:name="Bookmark_4"/>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Montana Code Annotated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30 Trade and Commerce (Chs. 1 — 23)</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14 Unfair Trade Practices and Consumer Protection (Pts. 1 — 28)</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4 Uniform Trade Secrets Act (§§ 30-14-401 — 30-14-409)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30-14-403 Injunctive relief — royalty.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Actual or threatened misappropriation may be enjoined. Upon application to the court, an injunction must be terminated when the trade secret has ceased to exist, but the injunction may be continued for an additional reasonable period of time in order to eliminate commercial advantage that otherwise would be derived from the misappropriation.</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In exceptional circumstances, an injunction may condition future use upon payment of a reasonable royalty for no longer than the period of time for which use could have been prohibited. Exceptional circumstances include but are not limited to a material and prejudicial change of position prior to acquiring knowledge or reason to know of misappropriation that renders a prohibitive injunction inequitable.</w:t>
      </w:r>
    </w:p>
    <w:p>
      <w:pPr>
        <w:keepNext w:val="0"/>
        <w:spacing w:before="120" w:after="0" w:line="300" w:lineRule="atLeast"/>
        <w:ind w:left="720" w:right="0"/>
        <w:jc w:val="left"/>
      </w:pPr>
      <w:r>
        <w:rPr>
          <w:b/>
        </w:rPr>
        <w:t xml:space="preserve">(3)  </w:t>
      </w:r>
      <w:bookmarkStart w:id="3" w:name="Bookmark__3"/>
      <w:bookmarkEnd w:id="3"/>
      <w:r>
        <w:rPr>
          <w:rFonts w:ascii="times" w:eastAsia="times" w:hAnsi="times" w:cs="times"/>
          <w:b w:val="0"/>
          <w:i w:val="0"/>
          <w:strike w:val="0"/>
          <w:noProof w:val="0"/>
          <w:color w:val="000000"/>
          <w:position w:val="0"/>
          <w:sz w:val="24"/>
          <w:u w:val="none"/>
          <w:vertAlign w:val="baseline"/>
        </w:rPr>
        <w:t>In appropriate circumstances, affirmative acts to protect a trade secret may be compelled by court order.</w:t>
      </w:r>
    </w:p>
    <w:p>
      <w:pPr>
        <w:keepNext/>
        <w:spacing w:before="240" w:after="0" w:line="340" w:lineRule="atLeast"/>
        <w:ind w:left="0" w:right="0" w:firstLine="0"/>
        <w:jc w:val="left"/>
      </w:pPr>
      <w:bookmarkStart w:id="4" w:name="History"/>
      <w:bookmarkEnd w:id="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En. Sec. 3, Ch. 104, L. 1985; amd. Sec. 1, Ch. 269, L. 1995.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Montana Code Annotated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30-14-403 Injunctive relief — royalty.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30-14-403 Injunctive relief — royalty.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225569265</vt:lpwstr>
  </property>
  <property fmtid="{D5CDD505-2E9C-101B-9397-08002B2CF9AE}" pid="3" name="LADocCount">
    <vt:lpwstr>1</vt:lpwstr>
  </property>
  <property fmtid="{D5CDD505-2E9C-101B-9397-08002B2CF9AE}" pid="4" name="LADocumentID:urn:contentItem:5B62-14T1-DYNH-C3BR-00000-00">
    <vt:lpwstr>Doc::/shared/document|contextualFeaturePermID::1519360</vt:lpwstr>
  </property>
  <property fmtid="{D5CDD505-2E9C-101B-9397-08002B2CF9AE}" pid="5" name="UserPermID">
    <vt:lpwstr>urn:user:PA186163333</vt:lpwstr>
  </property>
</Properties>
</file>