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239C.400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19. Miscellaneous Matters Related to Government and Public Affairs. (Chs. 234 — 242)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239C. Homeland Security. (§§ 239C.010 — 239C.480)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Nevada Resilience Advisory Committee (§§ 239C.400 — 239C.480)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239C.400. Creation; appointment of members; designation of officers; term.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Nevada Resilience Advisory Committee is hereby created.</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With the approval of the Adjutant General of the Office of the Military, the Chief of the Division shall appoint to the Committee not more than 34 voting members that the Chief determines to be appropriate and who have expertise in:</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Emergency management;</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Homeland security;</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Public safety;</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(e)  </w:t>
      </w:r>
      <w:bookmarkStart w:id="7" w:name="Bookmark__2_e"/>
      <w:bookmarkEnd w:id="7"/>
      <w:r>
        <w:rPr>
          <w:rFonts w:ascii="times" w:eastAsia="times" w:hAnsi="times" w:cs="times"/>
          <w:b w:val="0"/>
          <w:i w:val="0"/>
          <w:strike w:val="0"/>
          <w:noProof w:val="0"/>
          <w:color w:val="000000"/>
          <w:position w:val="0"/>
          <w:sz w:val="24"/>
          <w:u w:val="none"/>
          <w:vertAlign w:val="baseline"/>
        </w:rPr>
        <w:t>School safety; or</w:t>
      </w:r>
    </w:p>
    <w:p>
      <w:pPr>
        <w:keepNext w:val="0"/>
        <w:spacing w:before="120" w:after="0" w:line="300" w:lineRule="atLeast"/>
        <w:ind w:left="1080" w:right="0"/>
        <w:jc w:val="left"/>
      </w:pPr>
      <w:r>
        <w:rPr>
          <w:b/>
        </w:rPr>
        <w:t xml:space="preserve">(f)  </w:t>
      </w:r>
      <w:bookmarkStart w:id="8" w:name="Bookmark__2_f"/>
      <w:bookmarkEnd w:id="8"/>
      <w:r>
        <w:rPr>
          <w:rFonts w:ascii="times" w:eastAsia="times" w:hAnsi="times" w:cs="times"/>
          <w:b w:val="0"/>
          <w:i w:val="0"/>
          <w:strike w:val="0"/>
          <w:noProof w:val="0"/>
          <w:color w:val="000000"/>
          <w:position w:val="0"/>
          <w:sz w:val="24"/>
          <w:u w:val="none"/>
          <w:vertAlign w:val="baseline"/>
        </w:rPr>
        <w:t>Public health.</w:t>
      </w:r>
    </w:p>
    <w:p>
      <w:pPr>
        <w:keepNext w:val="0"/>
        <w:spacing w:before="120" w:after="0" w:line="300" w:lineRule="atLeast"/>
        <w:ind w:left="720" w:right="0"/>
        <w:jc w:val="left"/>
      </w:pPr>
      <w:r>
        <w:rPr>
          <w:b/>
        </w:rPr>
        <w:t xml:space="preserve">3.  </w:t>
      </w:r>
      <w:bookmarkStart w:id="9" w:name="Bookmark__3"/>
      <w:bookmarkEnd w:id="9"/>
      <w:r>
        <w:rPr>
          <w:rFonts w:ascii="times" w:eastAsia="times" w:hAnsi="times" w:cs="times"/>
          <w:b w:val="0"/>
          <w:i w:val="0"/>
          <w:strike w:val="0"/>
          <w:noProof w:val="0"/>
          <w:color w:val="000000"/>
          <w:position w:val="0"/>
          <w:sz w:val="24"/>
          <w:u w:val="none"/>
          <w:vertAlign w:val="baseline"/>
        </w:rPr>
        <w:t>With the approval of the Adjutant General of the Office of the Military, the Chief or his or her designee shall:</w:t>
      </w:r>
    </w:p>
    <w:p>
      <w:pPr>
        <w:keepNext w:val="0"/>
        <w:spacing w:before="120" w:after="0" w:line="300" w:lineRule="atLeast"/>
        <w:ind w:left="1080" w:right="0"/>
        <w:jc w:val="left"/>
      </w:pPr>
      <w:r>
        <w:rPr>
          <w:b/>
        </w:rPr>
        <w:t xml:space="preserve">(a)  </w:t>
      </w:r>
      <w:bookmarkStart w:id="10" w:name="Bookmark__3_a"/>
      <w:bookmarkEnd w:id="10"/>
      <w:r>
        <w:rPr>
          <w:rFonts w:ascii="times" w:eastAsia="times" w:hAnsi="times" w:cs="times"/>
          <w:b w:val="0"/>
          <w:i w:val="0"/>
          <w:strike w:val="0"/>
          <w:noProof w:val="0"/>
          <w:color w:val="000000"/>
          <w:position w:val="0"/>
          <w:sz w:val="24"/>
          <w:u w:val="none"/>
          <w:vertAlign w:val="baseline"/>
        </w:rPr>
        <w:t>Serve as the Chair and a voting member of the Committee; and</w:t>
      </w:r>
    </w:p>
    <w:p>
      <w:pPr>
        <w:keepNext w:val="0"/>
        <w:spacing w:before="120" w:after="0" w:line="300" w:lineRule="atLeast"/>
        <w:ind w:left="1080" w:right="0"/>
        <w:jc w:val="left"/>
      </w:pPr>
      <w:r>
        <w:rPr>
          <w:b/>
        </w:rPr>
        <w:t xml:space="preserve">(b)  </w:t>
      </w:r>
      <w:bookmarkStart w:id="11" w:name="Bookmark__3_b"/>
      <w:bookmarkEnd w:id="11"/>
      <w:r>
        <w:rPr>
          <w:rFonts w:ascii="times" w:eastAsia="times" w:hAnsi="times" w:cs="times"/>
          <w:b w:val="0"/>
          <w:i w:val="0"/>
          <w:strike w:val="0"/>
          <w:noProof w:val="0"/>
          <w:color w:val="000000"/>
          <w:position w:val="0"/>
          <w:sz w:val="24"/>
          <w:u w:val="none"/>
          <w:vertAlign w:val="baseline"/>
        </w:rPr>
        <w:t>Appoint one voting member of the Committee to serve as Vice Chair.</w:t>
      </w:r>
    </w:p>
    <w:p>
      <w:pPr>
        <w:keepNext w:val="0"/>
        <w:spacing w:before="120" w:after="0" w:line="300" w:lineRule="atLeast"/>
        <w:ind w:left="72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The term of office of each voting member of the Committee is 2 years. This term limit does not apply to the Chair. A member may be reappointed.</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2019, ch. 194, § 2, p. 1024, effective May 29, 2019; 2021, ch. 352, § 5, p. 2089, effective July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239C.400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239C.400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17</vt:lpwstr>
  </property>
  <property fmtid="{D5CDD505-2E9C-101B-9397-08002B2CF9AE}" pid="3" name="LADocCount">
    <vt:lpwstr>1</vt:lpwstr>
  </property>
  <property fmtid="{D5CDD505-2E9C-101B-9397-08002B2CF9AE}" pid="4" name="LADocumentID:17">
    <vt:lpwstr>Doc::urn:hlct:15|contextualFeaturePermID::1519360</vt:lpwstr>
  </property>
  <property fmtid="{D5CDD505-2E9C-101B-9397-08002B2CF9AE}" pid="5" name="UserPermID">
    <vt:lpwstr>urn:user:PA186163333</vt:lpwstr>
  </property>
</Properties>
</file>