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Exec § 711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Executive Law (Arts. 1 — 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26 Division of Homeland Security and Emergency Services (§§ 709 — 719)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711.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On or before January thirty-first of each year, the director shall appear before and deliver a report to representatives of each house of the legislature. The temporary president of the senate and the speaker of the assembly shall each appoint four members of their respective houses, and the minority leader of each house shall each appoint one member, to hear the director’s report. The appointed members may hear the report in a joint meeting of the members of the senate and assembly or in separate meetings attended by the members from one house. The chief information security officer of the state office of information technology services shall participate in such joint or separate meetings to supplement the report delivered by the director. The report shall provide information including, but not limited to: the state’s current threat level, imminent threats to New York state, the state’s current threat posture and collaborative efforts among localities, regions and with other states to prepare for and defend against acts of terrorism. The chief information security officer of the state office of information technology services shall supplement the report delivered by the director with information on the state’s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infrastructure and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resiliency efforts.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commissioner shall appear and give testimony before the annual legislative hearing on public protection held jointly by the assembly committee on ways and means and the senate finance committee as provided for in section three of article VII of the New York state constitution and section thirty-one of the legislative law.</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director shall report to the temporary president of the senate, speaker of the assembly and/or their designees within five days of an elevation of the state homeland security advisory system threat level as to the circumstances of the elevation.</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Before the receipt of any report issued pursuant to this section, each recipient of such report shall develop confidentiality protocols in consultation with the director which shall be binding upon the recipient who issues the protocols and anyone to whom the recipient shows the report, for the maintenance and use of such report so as to ensure the confidentiality of all sensitive information contained therein, provided, however, that such protocols shall not be binding upon a person who is provided access to such report or any information contained therein pursuant to section eighty-nine of the public officers law after a final determination that access to such report or any information contained therein could not be denied pursuant to subdivision two of section eighty-seven of the public officers law. The director shall also develop protocols for his or her office related to the maintenance and use of the report so as to ensure the confidentiality of all sensitive information contained in the report. On each copy of written reports, the director shall prominently display the following statement: “This report may contain information that if disclosed could endanger the life or safety of the public, and therefore, pursuant to section seven hundred eleven of the executive law, this report is to be maintained and used in a manner consistent with protocols established to preserve the confidentiality of the information contained herein in a manner consistent with law.”</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2004, ch 1, § 2 (Part B), eff July 23, 2004; amd, L 2013, ch 101, § 6 (Part A), eff July 11, 2013; L 2023, ch 55, § 1 (Part NN), effective May 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Exec § 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Exec § 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