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B98C6" w14:textId="77777777" w:rsidR="00415D8A" w:rsidRDefault="00415D8A">
      <w:pPr>
        <w:sectPr w:rsidR="00415D8A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7DE0E926" w14:textId="77777777" w:rsidR="00415D8A" w:rsidRDefault="00415D8A"/>
    <w:p w14:paraId="385D5582" w14:textId="77777777" w:rsidR="00415D8A" w:rsidRDefault="002F7AA3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>N.D. Cent. Code, § 51-30-03</w:t>
      </w:r>
    </w:p>
    <w:p w14:paraId="6FA63C0F" w14:textId="77777777" w:rsidR="00415D8A" w:rsidRDefault="002F7AA3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 xml:space="preserve">Current through all </w:t>
      </w:r>
      <w:r>
        <w:rPr>
          <w:rFonts w:ascii="Times" w:eastAsia="Times" w:hAnsi="Times" w:cs="Times"/>
          <w:color w:val="000000"/>
        </w:rPr>
        <w:t>legislation from the 68th Legislative Assembly - Special Session (2023).</w:t>
      </w:r>
    </w:p>
    <w:p w14:paraId="575AF180" w14:textId="77777777" w:rsidR="00415D8A" w:rsidRDefault="00415D8A">
      <w:pPr>
        <w:spacing w:line="240" w:lineRule="atLeast"/>
        <w:jc w:val="both"/>
      </w:pPr>
      <w:bookmarkStart w:id="1" w:name="Bookmark_3"/>
      <w:bookmarkEnd w:id="1"/>
    </w:p>
    <w:p w14:paraId="56EFA4A0" w14:textId="77777777" w:rsidR="00415D8A" w:rsidRDefault="002F7AA3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North Dakota Century Code Annotated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TITLE 51 Sales and Exchanges (Chs. 51-01 — 51-37)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CHAPTER 51-30 Notice of Security Breach for Personal Information (§§ 51-30-01 — 51-30-07</w:t>
      </w:r>
      <w:r>
        <w:rPr>
          <w:rFonts w:ascii="Times" w:eastAsia="Times" w:hAnsi="Times" w:cs="Times"/>
          <w:b/>
          <w:i/>
          <w:color w:val="000000"/>
          <w:sz w:val="22"/>
        </w:rPr>
        <w:t>)</w:t>
      </w:r>
    </w:p>
    <w:p w14:paraId="428B61E5" w14:textId="77777777" w:rsidR="00415D8A" w:rsidRDefault="002F7AA3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51-30-03. Notice to owner or licensee of personal information.</w:t>
      </w:r>
    </w:p>
    <w:p w14:paraId="78376AE0" w14:textId="2B05B4E4" w:rsidR="00415D8A" w:rsidRDefault="002F7AA3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89BFAB" wp14:editId="3771FD0D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7780" r="15875" b="2032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30B2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010C07AB" w14:textId="77777777" w:rsidR="00415D8A" w:rsidRDefault="00415D8A"/>
    <w:p w14:paraId="458EDB00" w14:textId="77777777" w:rsidR="00415D8A" w:rsidRDefault="002F7AA3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 xml:space="preserve">Any person that maintains computerized data that includes personal information that the person does not own shall notify the owner or licensee of the information of the breach of the </w:t>
      </w:r>
      <w:r>
        <w:rPr>
          <w:rFonts w:ascii="Times" w:eastAsia="Times" w:hAnsi="Times" w:cs="Times"/>
          <w:color w:val="000000"/>
        </w:rPr>
        <w:t>security of the data immediately following the discovery, if the personal information was, or is reasonably believed to have been, acquired by an unauthorized person.</w:t>
      </w:r>
    </w:p>
    <w:p w14:paraId="14746B77" w14:textId="77777777" w:rsidR="00415D8A" w:rsidRDefault="002F7AA3">
      <w:pPr>
        <w:keepNext/>
        <w:spacing w:before="240" w:line="340" w:lineRule="atLeast"/>
      </w:pPr>
      <w:bookmarkStart w:id="2" w:name="History"/>
      <w:bookmarkEnd w:id="2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514B78B7" w14:textId="5051DC40" w:rsidR="00415D8A" w:rsidRDefault="002F7AA3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AE341" wp14:editId="65999765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8415" r="15875" b="1968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5399C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5762DF11" w14:textId="77777777" w:rsidR="00415D8A" w:rsidRDefault="00415D8A"/>
    <w:p w14:paraId="0714802C" w14:textId="77777777" w:rsidR="00415D8A" w:rsidRDefault="002F7AA3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S.L. 2005, ch. 447, § 3.</w:t>
      </w:r>
    </w:p>
    <w:p w14:paraId="3885C82A" w14:textId="77777777" w:rsidR="00415D8A" w:rsidRDefault="002F7AA3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>North Dakota Century Code Annotated</w:t>
      </w:r>
    </w:p>
    <w:p w14:paraId="7F5CC53A" w14:textId="77777777" w:rsidR="00415D8A" w:rsidRDefault="002F7AA3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>Copyright © 2024</w:t>
      </w:r>
      <w:r>
        <w:rPr>
          <w:rFonts w:ascii="Times" w:eastAsia="Times" w:hAnsi="Times" w:cs="Times"/>
          <w:color w:val="000000"/>
          <w:sz w:val="20"/>
        </w:rPr>
        <w:t xml:space="preserve"> All rights reserved.</w:t>
      </w:r>
    </w:p>
    <w:p w14:paraId="25073756" w14:textId="77777777" w:rsidR="00415D8A" w:rsidRDefault="00415D8A"/>
    <w:p w14:paraId="20E29C0F" w14:textId="56D6D765" w:rsidR="00415D8A" w:rsidRDefault="002F7AA3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D102C" wp14:editId="219B1DE6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3970" r="6350" b="1460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5DE79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415D8A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9CC7F" w14:textId="77777777" w:rsidR="00000000" w:rsidRDefault="002F7AA3">
      <w:r>
        <w:separator/>
      </w:r>
    </w:p>
  </w:endnote>
  <w:endnote w:type="continuationSeparator" w:id="0">
    <w:p w14:paraId="146420E3" w14:textId="77777777" w:rsidR="00000000" w:rsidRDefault="002F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415D8A" w14:paraId="3A3CE9BB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36A69CB6" w14:textId="77777777" w:rsidR="00415D8A" w:rsidRDefault="00415D8A"/>
      </w:tc>
      <w:tc>
        <w:tcPr>
          <w:tcW w:w="4880" w:type="dxa"/>
          <w:tcMar>
            <w:top w:w="200" w:type="dxa"/>
          </w:tcMar>
          <w:vAlign w:val="center"/>
        </w:tcPr>
        <w:p w14:paraId="30D6BB2C" w14:textId="77777777" w:rsidR="00415D8A" w:rsidRDefault="00415D8A"/>
      </w:tc>
      <w:tc>
        <w:tcPr>
          <w:tcW w:w="2600" w:type="dxa"/>
          <w:tcMar>
            <w:top w:w="200" w:type="dxa"/>
          </w:tcMar>
          <w:vAlign w:val="center"/>
        </w:tcPr>
        <w:p w14:paraId="38D764A5" w14:textId="77777777" w:rsidR="00415D8A" w:rsidRDefault="00415D8A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3F211" w14:textId="77777777" w:rsidR="00415D8A" w:rsidRDefault="002F7AA3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00D82" w14:textId="77777777" w:rsidR="00000000" w:rsidRDefault="002F7AA3">
      <w:r>
        <w:separator/>
      </w:r>
    </w:p>
  </w:footnote>
  <w:footnote w:type="continuationSeparator" w:id="0">
    <w:p w14:paraId="30378AC8" w14:textId="77777777" w:rsidR="00000000" w:rsidRDefault="002F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415D8A" w14:paraId="35E520E4" w14:textId="77777777">
      <w:trPr>
        <w:jc w:val="center"/>
      </w:trPr>
      <w:tc>
        <w:tcPr>
          <w:tcW w:w="10080" w:type="dxa"/>
          <w:vAlign w:val="center"/>
        </w:tcPr>
        <w:p w14:paraId="3740395B" w14:textId="77777777" w:rsidR="00415D8A" w:rsidRDefault="002F7AA3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415D8A" w14:paraId="4CC9A347" w14:textId="77777777">
      <w:trPr>
        <w:jc w:val="center"/>
      </w:trPr>
      <w:tc>
        <w:tcPr>
          <w:tcW w:w="10080" w:type="dxa"/>
        </w:tcPr>
        <w:p w14:paraId="322B9396" w14:textId="77777777" w:rsidR="00415D8A" w:rsidRDefault="002F7AA3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51-30-03. Notice to owner or licensee of personal information.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2F7AA3"/>
    <w:rsid w:val="00415D8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31BAECB"/>
  <w15:docId w15:val="{D9CD5F4E-CA7F-45C0-B392-9630A35F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B2B47046-B2A9-4C5F-8A6B-449A4A496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DCAC7-308C-46E8-B6E7-D75D71B81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D81B0-CE93-4209-B39F-E7698BA1CDF7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4e6a8aeb-c29e-4a8a-85db-b95bdfea3467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51-30-03. Notice to owner or licensee of personal information.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51-30-03. Notice to owner or licensee of personal information.</dc:title>
  <dc:creator>Trayce Hockstad</dc:creator>
  <cp:lastModifiedBy>Trayce Hockstad</cp:lastModifiedBy>
  <cp:revision>2</cp:revision>
  <dcterms:created xsi:type="dcterms:W3CDTF">2024-06-11T18:55:00Z</dcterms:created>
  <dcterms:modified xsi:type="dcterms:W3CDTF">2024-06-11T18:55:00Z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226398912</vt:lpwstr>
  </property>
  <property fmtid="{D5CDD505-2E9C-101B-9397-08002B2CF9AE}" pid="3" name="LADocCount">
    <vt:lpwstr>1</vt:lpwstr>
  </property>
  <property fmtid="{D5CDD505-2E9C-101B-9397-08002B2CF9AE}" pid="4" name="LADocumentID:urn:contentItem:5CP7-X5Y1-66WP-P4SW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