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E8AF0" w14:textId="77777777" w:rsidR="000B4D92" w:rsidRDefault="000B4D92">
      <w:pPr>
        <w:sectPr w:rsidR="000B4D92">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6184EF6E" w14:textId="77777777" w:rsidR="000B4D92" w:rsidRDefault="000B4D92"/>
    <w:p w14:paraId="43E22B6C" w14:textId="77777777" w:rsidR="000B4D92" w:rsidRDefault="00C9462B">
      <w:pPr>
        <w:pStyle w:val="Heading1"/>
        <w:keepNext w:val="0"/>
        <w:spacing w:after="200" w:line="340" w:lineRule="atLeast"/>
        <w:jc w:val="center"/>
      </w:pPr>
      <w:r>
        <w:rPr>
          <w:rFonts w:ascii="Times" w:eastAsia="Times" w:hAnsi="Times" w:cs="Times"/>
          <w:color w:val="000000"/>
          <w:sz w:val="28"/>
        </w:rPr>
        <w:t>ORC Ann. 1349.69</w:t>
      </w:r>
    </w:p>
    <w:p w14:paraId="56A8AD9E" w14:textId="77777777" w:rsidR="000B4D92" w:rsidRDefault="00C9462B">
      <w:pPr>
        <w:spacing w:before="120" w:line="300" w:lineRule="atLeast"/>
        <w:jc w:val="center"/>
      </w:pPr>
      <w:r>
        <w:rPr>
          <w:rFonts w:ascii="Times" w:eastAsia="Times" w:hAnsi="Times" w:cs="Times"/>
          <w:color w:val="000000"/>
        </w:rPr>
        <w:t xml:space="preserve">Current through File </w:t>
      </w:r>
      <w:r>
        <w:rPr>
          <w:rFonts w:ascii="Times" w:eastAsia="Times" w:hAnsi="Times" w:cs="Times"/>
          <w:color w:val="000000"/>
        </w:rPr>
        <w:t>26 of the 135th General Assembly (2023-2024).</w:t>
      </w:r>
    </w:p>
    <w:p w14:paraId="20196902" w14:textId="77777777" w:rsidR="000B4D92" w:rsidRDefault="000B4D92">
      <w:pPr>
        <w:spacing w:line="240" w:lineRule="atLeast"/>
        <w:jc w:val="both"/>
      </w:pPr>
      <w:bookmarkStart w:id="1" w:name="Bookmark_46"/>
      <w:bookmarkEnd w:id="1"/>
    </w:p>
    <w:p w14:paraId="09DE26B4" w14:textId="77777777" w:rsidR="000B4D92" w:rsidRDefault="00C9462B">
      <w:pPr>
        <w:spacing w:before="200" w:line="280" w:lineRule="atLeast"/>
      </w:pPr>
      <w:r>
        <w:rPr>
          <w:rFonts w:ascii="Times" w:eastAsia="Times" w:hAnsi="Times" w:cs="Times"/>
          <w:b/>
          <w:i/>
          <w:color w:val="000000"/>
          <w:sz w:val="22"/>
        </w:rPr>
        <w:t>Page’s Ohio Revised Code Annotated</w:t>
      </w:r>
      <w:r>
        <w:rPr>
          <w:rFonts w:ascii="Times" w:eastAsia="Times" w:hAnsi="Times" w:cs="Times"/>
          <w:b/>
          <w:color w:val="000000"/>
          <w:sz w:val="22"/>
        </w:rPr>
        <w:t xml:space="preserve">  &gt;  </w:t>
      </w:r>
      <w:r>
        <w:rPr>
          <w:rFonts w:ascii="Times" w:eastAsia="Times" w:hAnsi="Times" w:cs="Times"/>
          <w:b/>
          <w:i/>
          <w:color w:val="000000"/>
          <w:sz w:val="22"/>
        </w:rPr>
        <w:t>Title 13: Commercial Transactions — Other Commercial Transactions (Chs. 1301 — 1355)</w:t>
      </w:r>
      <w:r>
        <w:rPr>
          <w:rFonts w:ascii="Times" w:eastAsia="Times" w:hAnsi="Times" w:cs="Times"/>
          <w:b/>
          <w:color w:val="000000"/>
          <w:sz w:val="22"/>
        </w:rPr>
        <w:t xml:space="preserve">  &gt;  </w:t>
      </w:r>
      <w:r>
        <w:rPr>
          <w:rFonts w:ascii="Times" w:eastAsia="Times" w:hAnsi="Times" w:cs="Times"/>
          <w:b/>
          <w:i/>
          <w:color w:val="000000"/>
          <w:sz w:val="22"/>
        </w:rPr>
        <w:t>Chapter 1349: Consumer Protection (§§ 1349.01 — 1349.99)</w:t>
      </w:r>
      <w:r>
        <w:rPr>
          <w:rFonts w:ascii="Times" w:eastAsia="Times" w:hAnsi="Times" w:cs="Times"/>
          <w:b/>
          <w:color w:val="000000"/>
          <w:sz w:val="22"/>
        </w:rPr>
        <w:t xml:space="preserve">  &gt;  </w:t>
      </w:r>
      <w:r>
        <w:rPr>
          <w:rFonts w:ascii="Times" w:eastAsia="Times" w:hAnsi="Times" w:cs="Times"/>
          <w:b/>
          <w:i/>
          <w:color w:val="000000"/>
          <w:sz w:val="22"/>
        </w:rPr>
        <w:t>Gift Cards (§§ 1349.</w:t>
      </w:r>
      <w:r>
        <w:rPr>
          <w:rFonts w:ascii="Times" w:eastAsia="Times" w:hAnsi="Times" w:cs="Times"/>
          <w:b/>
          <w:i/>
          <w:color w:val="000000"/>
          <w:sz w:val="22"/>
        </w:rPr>
        <w:t>61 — 1349.69)</w:t>
      </w:r>
    </w:p>
    <w:p w14:paraId="2A7F8AFA" w14:textId="77777777" w:rsidR="000B4D92" w:rsidRDefault="00C9462B">
      <w:pPr>
        <w:keepNext/>
        <w:spacing w:before="240" w:line="340" w:lineRule="atLeast"/>
      </w:pPr>
      <w:r>
        <w:br/>
      </w:r>
      <w:r>
        <w:rPr>
          <w:rFonts w:ascii="Times" w:eastAsia="Times" w:hAnsi="Times" w:cs="Times"/>
          <w:b/>
          <w:color w:val="000000"/>
          <w:sz w:val="28"/>
        </w:rPr>
        <w:t>§ 1349.69 Reasonable security procedures and practices by online marketplace.</w:t>
      </w:r>
    </w:p>
    <w:p w14:paraId="7A036C83" w14:textId="59BE1A4E" w:rsidR="000B4D92" w:rsidRDefault="00C9462B">
      <w:pPr>
        <w:spacing w:line="60" w:lineRule="exact"/>
      </w:pPr>
      <w:r>
        <w:rPr>
          <w:noProof/>
        </w:rPr>
        <mc:AlternateContent>
          <mc:Choice Requires="wps">
            <w:drawing>
              <wp:anchor distT="0" distB="0" distL="114300" distR="114300" simplePos="0" relativeHeight="251658240" behindDoc="0" locked="0" layoutInCell="1" allowOverlap="1" wp14:anchorId="0EBBD836" wp14:editId="2B00D37D">
                <wp:simplePos x="0" y="0"/>
                <wp:positionH relativeFrom="column">
                  <wp:posOffset>0</wp:posOffset>
                </wp:positionH>
                <wp:positionV relativeFrom="paragraph">
                  <wp:posOffset>25400</wp:posOffset>
                </wp:positionV>
                <wp:extent cx="6502400" cy="0"/>
                <wp:effectExtent l="15875" t="14605" r="15875" b="1397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936A7"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7066D9AB" w14:textId="77777777" w:rsidR="000B4D92" w:rsidRDefault="000B4D92"/>
    <w:p w14:paraId="34B96D88" w14:textId="77777777" w:rsidR="000B4D92" w:rsidRDefault="00C9462B">
      <w:pPr>
        <w:spacing w:before="120" w:line="300" w:lineRule="atLeast"/>
        <w:ind w:left="720"/>
      </w:pPr>
      <w:r>
        <w:rPr>
          <w:rFonts w:ascii="Times" w:eastAsia="Times" w:hAnsi="Times" w:cs="Times"/>
          <w:color w:val="000000"/>
        </w:rPr>
        <w:t xml:space="preserve">An online marketplace shall implement and maintain reasonable security procedures and practices, including administrative, physical, and technical safeguards, </w:t>
      </w:r>
      <w:r>
        <w:rPr>
          <w:rFonts w:ascii="Times" w:eastAsia="Times" w:hAnsi="Times" w:cs="Times"/>
          <w:color w:val="000000"/>
        </w:rPr>
        <w:t>appropriate to the nature of the data and the purposes for which the data will be used, to protect the data collected to comply with the requirements of this chapter from unauthorized use, disclosure, access, destruction, or modification.</w:t>
      </w:r>
    </w:p>
    <w:p w14:paraId="48ABD059" w14:textId="77777777" w:rsidR="000B4D92" w:rsidRDefault="00C9462B">
      <w:pPr>
        <w:keepNext/>
        <w:spacing w:before="240" w:line="340" w:lineRule="atLeast"/>
      </w:pPr>
      <w:bookmarkStart w:id="2" w:name="History"/>
      <w:bookmarkEnd w:id="2"/>
      <w:r>
        <w:rPr>
          <w:rFonts w:ascii="Times" w:eastAsia="Times" w:hAnsi="Times" w:cs="Times"/>
          <w:b/>
          <w:color w:val="000000"/>
          <w:sz w:val="28"/>
        </w:rPr>
        <w:t>History</w:t>
      </w:r>
    </w:p>
    <w:p w14:paraId="0264CD4A" w14:textId="62DF982A" w:rsidR="000B4D92" w:rsidRDefault="00C9462B">
      <w:pPr>
        <w:spacing w:line="60" w:lineRule="exact"/>
      </w:pPr>
      <w:r>
        <w:rPr>
          <w:noProof/>
        </w:rPr>
        <mc:AlternateContent>
          <mc:Choice Requires="wps">
            <w:drawing>
              <wp:anchor distT="0" distB="0" distL="114300" distR="114300" simplePos="0" relativeHeight="251659264" behindDoc="0" locked="0" layoutInCell="1" allowOverlap="1" wp14:anchorId="576255E6" wp14:editId="146E3478">
                <wp:simplePos x="0" y="0"/>
                <wp:positionH relativeFrom="column">
                  <wp:posOffset>0</wp:posOffset>
                </wp:positionH>
                <wp:positionV relativeFrom="paragraph">
                  <wp:posOffset>25400</wp:posOffset>
                </wp:positionV>
                <wp:extent cx="6502400" cy="0"/>
                <wp:effectExtent l="15875" t="15240" r="15875" b="13335"/>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A8332"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70243306" w14:textId="77777777" w:rsidR="000B4D92" w:rsidRDefault="000B4D92"/>
    <w:p w14:paraId="37C64E4A" w14:textId="77777777" w:rsidR="000B4D92" w:rsidRDefault="00C9462B">
      <w:pPr>
        <w:spacing w:before="120" w:line="300" w:lineRule="atLeast"/>
      </w:pPr>
      <w:r>
        <w:rPr>
          <w:rFonts w:ascii="Times" w:eastAsia="Times" w:hAnsi="Times" w:cs="Times"/>
          <w:color w:val="000000"/>
        </w:rPr>
        <w:t>2022 h</w:t>
      </w:r>
      <w:r>
        <w:rPr>
          <w:rFonts w:ascii="Times" w:eastAsia="Times" w:hAnsi="Times" w:cs="Times"/>
          <w:color w:val="000000"/>
        </w:rPr>
        <w:t>b272, § 1, effective July 6, 2022.</w:t>
      </w:r>
    </w:p>
    <w:p w14:paraId="4DB64705" w14:textId="77777777" w:rsidR="000B4D92" w:rsidRDefault="00C9462B">
      <w:pPr>
        <w:spacing w:before="120" w:line="260" w:lineRule="atLeast"/>
      </w:pPr>
      <w:r>
        <w:br/>
      </w:r>
      <w:r>
        <w:rPr>
          <w:rFonts w:ascii="Times" w:eastAsia="Times" w:hAnsi="Times" w:cs="Times"/>
          <w:color w:val="000000"/>
          <w:sz w:val="20"/>
        </w:rPr>
        <w:t>Page’s Ohio Revised Code Annotated</w:t>
      </w:r>
    </w:p>
    <w:p w14:paraId="64CF785C" w14:textId="77777777" w:rsidR="000B4D92" w:rsidRDefault="00C9462B">
      <w:pPr>
        <w:spacing w:line="260" w:lineRule="atLeast"/>
      </w:pPr>
      <w:r>
        <w:rPr>
          <w:rFonts w:ascii="Times" w:eastAsia="Times" w:hAnsi="Times" w:cs="Times"/>
          <w:color w:val="000000"/>
          <w:sz w:val="20"/>
        </w:rPr>
        <w:t>Copyright © 2024 All rights reserved.</w:t>
      </w:r>
    </w:p>
    <w:p w14:paraId="064950B2" w14:textId="77777777" w:rsidR="000B4D92" w:rsidRDefault="000B4D92"/>
    <w:p w14:paraId="45A96606" w14:textId="1AF42223" w:rsidR="000B4D92" w:rsidRDefault="00C9462B">
      <w:pPr>
        <w:ind w:left="200"/>
      </w:pPr>
      <w:r>
        <w:br/>
      </w:r>
      <w:r>
        <w:rPr>
          <w:noProof/>
        </w:rPr>
        <mc:AlternateContent>
          <mc:Choice Requires="wps">
            <w:drawing>
              <wp:anchor distT="0" distB="0" distL="114300" distR="114300" simplePos="0" relativeHeight="251660288" behindDoc="0" locked="0" layoutInCell="1" allowOverlap="1" wp14:anchorId="728640ED" wp14:editId="0F787383">
                <wp:simplePos x="0" y="0"/>
                <wp:positionH relativeFrom="column">
                  <wp:posOffset>0</wp:posOffset>
                </wp:positionH>
                <wp:positionV relativeFrom="paragraph">
                  <wp:posOffset>127000</wp:posOffset>
                </wp:positionV>
                <wp:extent cx="6502400" cy="0"/>
                <wp:effectExtent l="6350" t="10795" r="6350" b="825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6EBEB3"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rFonts w:ascii="Times" w:eastAsia="Times" w:hAnsi="Times" w:cs="Times"/>
          <w:b/>
          <w:color w:val="767676"/>
          <w:sz w:val="16"/>
        </w:rPr>
        <w:t>End of Document</w:t>
      </w:r>
    </w:p>
    <w:sectPr w:rsidR="000B4D92">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9F75DB" w14:textId="77777777" w:rsidR="00000000" w:rsidRDefault="00C9462B">
      <w:r>
        <w:separator/>
      </w:r>
    </w:p>
  </w:endnote>
  <w:endnote w:type="continuationSeparator" w:id="0">
    <w:p w14:paraId="72BA8175" w14:textId="77777777" w:rsidR="00000000" w:rsidRDefault="00C94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0B4D92" w14:paraId="60028E83" w14:textId="77777777">
      <w:trPr>
        <w:jc w:val="center"/>
      </w:trPr>
      <w:tc>
        <w:tcPr>
          <w:tcW w:w="2600" w:type="dxa"/>
          <w:tcMar>
            <w:top w:w="200" w:type="dxa"/>
          </w:tcMar>
          <w:vAlign w:val="center"/>
        </w:tcPr>
        <w:p w14:paraId="7D3E630D" w14:textId="77777777" w:rsidR="000B4D92" w:rsidRDefault="000B4D92"/>
      </w:tc>
      <w:tc>
        <w:tcPr>
          <w:tcW w:w="4880" w:type="dxa"/>
          <w:tcMar>
            <w:top w:w="200" w:type="dxa"/>
          </w:tcMar>
          <w:vAlign w:val="center"/>
        </w:tcPr>
        <w:p w14:paraId="5D6AE607" w14:textId="77777777" w:rsidR="000B4D92" w:rsidRDefault="000B4D92"/>
      </w:tc>
      <w:tc>
        <w:tcPr>
          <w:tcW w:w="2600" w:type="dxa"/>
          <w:tcMar>
            <w:top w:w="200" w:type="dxa"/>
          </w:tcMar>
          <w:vAlign w:val="center"/>
        </w:tcPr>
        <w:p w14:paraId="69078191" w14:textId="77777777" w:rsidR="000B4D92" w:rsidRDefault="000B4D92"/>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C3533" w14:textId="77777777" w:rsidR="000B4D92" w:rsidRDefault="00C9462B">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DEDF6" w14:textId="77777777" w:rsidR="00000000" w:rsidRDefault="00C9462B">
      <w:r>
        <w:separator/>
      </w:r>
    </w:p>
  </w:footnote>
  <w:footnote w:type="continuationSeparator" w:id="0">
    <w:p w14:paraId="1B2D4BE4" w14:textId="77777777" w:rsidR="00000000" w:rsidRDefault="00C94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0B4D92" w14:paraId="4C020E2E" w14:textId="77777777">
      <w:trPr>
        <w:jc w:val="center"/>
      </w:trPr>
      <w:tc>
        <w:tcPr>
          <w:tcW w:w="10080" w:type="dxa"/>
          <w:vAlign w:val="center"/>
        </w:tcPr>
        <w:p w14:paraId="0191A8B6" w14:textId="77777777" w:rsidR="000B4D92" w:rsidRDefault="00C9462B">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end"/>
          </w:r>
        </w:p>
      </w:tc>
    </w:tr>
    <w:tr w:rsidR="000B4D92" w14:paraId="05328E51" w14:textId="77777777">
      <w:trPr>
        <w:jc w:val="center"/>
      </w:trPr>
      <w:tc>
        <w:tcPr>
          <w:tcW w:w="10080" w:type="dxa"/>
        </w:tcPr>
        <w:p w14:paraId="05E6E02B" w14:textId="77777777" w:rsidR="000B4D92" w:rsidRDefault="00C9462B">
          <w:pPr>
            <w:spacing w:before="60" w:after="200"/>
            <w:jc w:val="center"/>
          </w:pPr>
          <w:r>
            <w:rPr>
              <w:rFonts w:ascii="Times" w:eastAsia="Times" w:hAnsi="Times" w:cs="Times"/>
              <w:sz w:val="20"/>
            </w:rPr>
            <w:t>§ 1349.69 Reasonable security procedures and practices by online marketplace.</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B4D92"/>
    <w:rsid w:val="00A77B3E"/>
    <w:rsid w:val="00C9462B"/>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308443CE"/>
  <w15:docId w15:val="{22E04BF1-3857-4EB9-B84E-652C3953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CA46DCCC-DD9A-4C24-8CDB-658C74DF6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264ABA-1EBB-4F8F-A031-FF6E691F53A7}">
  <ds:schemaRefs>
    <ds:schemaRef ds:uri="http://schemas.microsoft.com/sharepoint/v3/contenttype/forms"/>
  </ds:schemaRefs>
</ds:datastoreItem>
</file>

<file path=customXml/itemProps3.xml><?xml version="1.0" encoding="utf-8"?>
<ds:datastoreItem xmlns:ds="http://schemas.openxmlformats.org/officeDocument/2006/customXml" ds:itemID="{9551D633-E843-4F5B-A5B7-66DE5F825634}">
  <ds:schemaRef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4e6a8aeb-c29e-4a8a-85db-b95bdfea3467"/>
    <ds:schemaRef ds:uri="55d6ef15-79d8-436f-a155-0c344616754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796</Characters>
  <Application>Microsoft Office Word</Application>
  <DocSecurity>4</DocSecurity>
  <Lines>6</Lines>
  <Paragraphs>1</Paragraphs>
  <ScaleCrop>false</ScaleCrop>
  <HeadingPairs>
    <vt:vector size="2" baseType="variant">
      <vt:variant>
        <vt:lpstr>Title</vt:lpstr>
      </vt:variant>
      <vt:variant>
        <vt:i4>1</vt:i4>
      </vt:variant>
    </vt:vector>
  </HeadingPairs>
  <TitlesOfParts>
    <vt:vector size="1" baseType="lpstr">
      <vt:lpstr>§ 1349.69 Reasonable security procedures and practices by online marketplace.</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1349.69 Reasonable security procedures and practices by online marketplace.</dc:title>
  <dc:creator>Trayce Hockstad</dc:creator>
  <cp:lastModifiedBy>Trayce Hockstad</cp:lastModifiedBy>
  <cp:revision>2</cp:revision>
  <dcterms:created xsi:type="dcterms:W3CDTF">2024-06-11T19:11:00Z</dcterms:created>
  <dcterms:modified xsi:type="dcterms:W3CDTF">2024-06-11T19:11:00Z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6570-GF63-CGX8-054R-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