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77A6B" w14:textId="77777777" w:rsidR="009975F3" w:rsidRDefault="009975F3">
      <w:pPr>
        <w:sectPr w:rsidR="009975F3">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6C402BCB" w14:textId="77777777" w:rsidR="009975F3" w:rsidRDefault="009975F3"/>
    <w:p w14:paraId="74DCEB2D" w14:textId="77777777" w:rsidR="009975F3" w:rsidRDefault="006C0A3C">
      <w:pPr>
        <w:pStyle w:val="Heading1"/>
        <w:keepNext w:val="0"/>
        <w:spacing w:after="200" w:line="340" w:lineRule="atLeast"/>
        <w:jc w:val="center"/>
      </w:pPr>
      <w:r>
        <w:rPr>
          <w:rFonts w:ascii="Times" w:hAnsi="Times" w:cs="Times"/>
          <w:color w:val="000000"/>
          <w:sz w:val="28"/>
        </w:rPr>
        <w:t>ORC Ann. 1349.70</w:t>
      </w:r>
    </w:p>
    <w:p w14:paraId="5A3714DB" w14:textId="77777777" w:rsidR="009975F3" w:rsidRDefault="006C0A3C">
      <w:pPr>
        <w:spacing w:before="120" w:line="300" w:lineRule="atLeast"/>
        <w:jc w:val="center"/>
      </w:pPr>
      <w:r>
        <w:rPr>
          <w:color w:val="000000"/>
        </w:rPr>
        <w:t xml:space="preserve">Current through File </w:t>
      </w:r>
      <w:r>
        <w:rPr>
          <w:color w:val="000000"/>
        </w:rPr>
        <w:t>26 of the 135th General Assembly (2023-2024).</w:t>
      </w:r>
    </w:p>
    <w:p w14:paraId="0E280AF9" w14:textId="77777777" w:rsidR="009975F3" w:rsidRDefault="009975F3">
      <w:pPr>
        <w:spacing w:line="240" w:lineRule="atLeast"/>
        <w:jc w:val="both"/>
      </w:pPr>
      <w:bookmarkStart w:id="1" w:name="Bookmark_47"/>
      <w:bookmarkEnd w:id="1"/>
    </w:p>
    <w:p w14:paraId="3139BE23" w14:textId="77777777" w:rsidR="009975F3" w:rsidRDefault="006C0A3C">
      <w:pPr>
        <w:spacing w:before="200" w:line="280" w:lineRule="atLeast"/>
      </w:pPr>
      <w:r>
        <w:rPr>
          <w:b/>
          <w:i/>
          <w:color w:val="000000"/>
          <w:sz w:val="22"/>
        </w:rPr>
        <w:t>Page’s Ohio Revised Code Annotated</w:t>
      </w:r>
      <w:r>
        <w:rPr>
          <w:b/>
          <w:color w:val="000000"/>
          <w:sz w:val="22"/>
        </w:rPr>
        <w:t xml:space="preserve">  &gt;  </w:t>
      </w:r>
      <w:r>
        <w:rPr>
          <w:b/>
          <w:i/>
          <w:color w:val="000000"/>
          <w:sz w:val="22"/>
        </w:rPr>
        <w:t>Title 13: Commercial Transactions — Other Commercial Transactions (Chs. 1301 — 1355)</w:t>
      </w:r>
      <w:r>
        <w:rPr>
          <w:b/>
          <w:color w:val="000000"/>
          <w:sz w:val="22"/>
        </w:rPr>
        <w:t xml:space="preserve">  &gt;  </w:t>
      </w:r>
      <w:r>
        <w:rPr>
          <w:b/>
          <w:i/>
          <w:color w:val="000000"/>
          <w:sz w:val="22"/>
        </w:rPr>
        <w:t>Chapter 1349: Consumer Protection (§§ 1349.01 — 1349.99)</w:t>
      </w:r>
      <w:r>
        <w:rPr>
          <w:b/>
          <w:color w:val="000000"/>
          <w:sz w:val="22"/>
        </w:rPr>
        <w:t xml:space="preserve">  &gt;  </w:t>
      </w:r>
      <w:r>
        <w:rPr>
          <w:b/>
          <w:i/>
          <w:color w:val="000000"/>
          <w:sz w:val="22"/>
        </w:rPr>
        <w:t>Consumer Finance Edu</w:t>
      </w:r>
      <w:r>
        <w:rPr>
          <w:b/>
          <w:i/>
          <w:color w:val="000000"/>
          <w:sz w:val="22"/>
        </w:rPr>
        <w:t>cation Board (§§ 1349.70 — 1349.78)</w:t>
      </w:r>
    </w:p>
    <w:p w14:paraId="0F4009BA" w14:textId="77777777" w:rsidR="009975F3" w:rsidRDefault="006C0A3C">
      <w:pPr>
        <w:keepNext/>
        <w:spacing w:before="240" w:line="340" w:lineRule="atLeast"/>
      </w:pPr>
      <w:r>
        <w:br/>
      </w:r>
      <w:r>
        <w:rPr>
          <w:b/>
          <w:color w:val="000000"/>
          <w:sz w:val="28"/>
        </w:rPr>
        <w:t>§ 1349.70 Collection and dissemination of information by online marketplace.</w:t>
      </w:r>
    </w:p>
    <w:p w14:paraId="26C1E336" w14:textId="63E13C0D" w:rsidR="009975F3" w:rsidRDefault="006C0A3C">
      <w:pPr>
        <w:spacing w:line="60" w:lineRule="exact"/>
      </w:pPr>
      <w:r>
        <w:rPr>
          <w:noProof/>
        </w:rPr>
        <mc:AlternateContent>
          <mc:Choice Requires="wps">
            <w:drawing>
              <wp:anchor distT="0" distB="0" distL="114300" distR="114300" simplePos="0" relativeHeight="251658240" behindDoc="0" locked="0" layoutInCell="1" allowOverlap="1" wp14:anchorId="4B522A28" wp14:editId="00C36AB4">
                <wp:simplePos x="0" y="0"/>
                <wp:positionH relativeFrom="column">
                  <wp:posOffset>0</wp:posOffset>
                </wp:positionH>
                <wp:positionV relativeFrom="paragraph">
                  <wp:posOffset>25400</wp:posOffset>
                </wp:positionV>
                <wp:extent cx="6502400" cy="0"/>
                <wp:effectExtent l="15875" t="14605" r="1587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0BEC0"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773662C2" w14:textId="77777777" w:rsidR="009975F3" w:rsidRDefault="009975F3"/>
    <w:p w14:paraId="7C77AC00" w14:textId="77777777" w:rsidR="009975F3" w:rsidRDefault="006C0A3C">
      <w:pPr>
        <w:spacing w:before="120" w:line="300" w:lineRule="atLeast"/>
        <w:ind w:left="720"/>
      </w:pPr>
      <w:r>
        <w:rPr>
          <w:b/>
        </w:rPr>
        <w:t xml:space="preserve">(A)  </w:t>
      </w:r>
      <w:bookmarkStart w:id="2" w:name="Bookmark__a"/>
      <w:bookmarkEnd w:id="2"/>
      <w:r>
        <w:rPr>
          <w:color w:val="000000"/>
        </w:rPr>
        <w:t>An online marketplace shall do both of the following:</w:t>
      </w:r>
    </w:p>
    <w:p w14:paraId="160E8233" w14:textId="77777777" w:rsidR="009975F3" w:rsidRDefault="006C0A3C">
      <w:pPr>
        <w:spacing w:before="120" w:line="300" w:lineRule="atLeast"/>
        <w:ind w:left="1080"/>
      </w:pPr>
      <w:r>
        <w:rPr>
          <w:b/>
        </w:rPr>
        <w:t xml:space="preserve">(1)  </w:t>
      </w:r>
      <w:bookmarkStart w:id="3" w:name="Bookmark__a_1"/>
      <w:bookmarkEnd w:id="3"/>
      <w:r>
        <w:rPr>
          <w:color w:val="000000"/>
        </w:rPr>
        <w:t xml:space="preserve">Require any high-volume third party seller with an aggregate total of </w:t>
      </w:r>
      <w:r>
        <w:rPr>
          <w:color w:val="000000"/>
        </w:rPr>
        <w:t>twenty thousand dollars or more in annual gross revenues on such online marketplace, and that uses such online marketplace’s platform, to provide the information described in division (B) of this section to the online marketplace;</w:t>
      </w:r>
    </w:p>
    <w:p w14:paraId="45A59E4B" w14:textId="77777777" w:rsidR="009975F3" w:rsidRDefault="006C0A3C">
      <w:pPr>
        <w:spacing w:before="120" w:line="300" w:lineRule="atLeast"/>
        <w:ind w:left="1080"/>
      </w:pPr>
      <w:r>
        <w:rPr>
          <w:b/>
        </w:rPr>
        <w:t xml:space="preserve">(2)  </w:t>
      </w:r>
      <w:bookmarkStart w:id="4" w:name="Bookmark__a_2"/>
      <w:bookmarkEnd w:id="4"/>
      <w:r>
        <w:rPr>
          <w:color w:val="000000"/>
        </w:rPr>
        <w:t>Disclose the informa</w:t>
      </w:r>
      <w:r>
        <w:rPr>
          <w:color w:val="000000"/>
        </w:rPr>
        <w:t>tion described in division (B) of this section to consumers in a clear and conspicuous manner both in:</w:t>
      </w:r>
    </w:p>
    <w:p w14:paraId="7DB66CD2" w14:textId="77777777" w:rsidR="009975F3" w:rsidRDefault="006C0A3C">
      <w:pPr>
        <w:spacing w:before="120" w:line="300" w:lineRule="atLeast"/>
        <w:ind w:left="1440"/>
      </w:pPr>
      <w:r>
        <w:rPr>
          <w:b/>
        </w:rPr>
        <w:t xml:space="preserve">(a)  </w:t>
      </w:r>
      <w:bookmarkStart w:id="5" w:name="Bookmark__a_2_a"/>
      <w:bookmarkEnd w:id="5"/>
      <w:r>
        <w:rPr>
          <w:color w:val="000000"/>
        </w:rPr>
        <w:t>The order confirmation message or other document or communication made to a consumer after a purchase is finalized;</w:t>
      </w:r>
    </w:p>
    <w:p w14:paraId="5A79C2BA" w14:textId="77777777" w:rsidR="009975F3" w:rsidRDefault="006C0A3C">
      <w:pPr>
        <w:spacing w:before="120" w:line="300" w:lineRule="atLeast"/>
        <w:ind w:left="1440"/>
      </w:pPr>
      <w:r>
        <w:rPr>
          <w:b/>
        </w:rPr>
        <w:t xml:space="preserve">(b)  </w:t>
      </w:r>
      <w:bookmarkStart w:id="6" w:name="Bookmark__a_2_b"/>
      <w:bookmarkEnd w:id="6"/>
      <w:r>
        <w:rPr>
          <w:color w:val="000000"/>
        </w:rPr>
        <w:t xml:space="preserve">The consumer’s account </w:t>
      </w:r>
      <w:r>
        <w:rPr>
          <w:color w:val="000000"/>
        </w:rPr>
        <w:t>transaction history.</w:t>
      </w:r>
    </w:p>
    <w:p w14:paraId="0C303EF4" w14:textId="77777777" w:rsidR="009975F3" w:rsidRDefault="006C0A3C">
      <w:pPr>
        <w:spacing w:before="120" w:line="300" w:lineRule="atLeast"/>
        <w:ind w:left="720"/>
      </w:pPr>
      <w:r>
        <w:rPr>
          <w:b/>
        </w:rPr>
        <w:t xml:space="preserve">(B)  </w:t>
      </w:r>
      <w:bookmarkStart w:id="7" w:name="Bookmark__b"/>
      <w:bookmarkEnd w:id="7"/>
      <w:r>
        <w:rPr>
          <w:color w:val="000000"/>
        </w:rPr>
        <w:t>The information required to be provided and disclosed by division (A) of this section is both of the following:</w:t>
      </w:r>
    </w:p>
    <w:p w14:paraId="31EBC0E7" w14:textId="77777777" w:rsidR="009975F3" w:rsidRDefault="006C0A3C">
      <w:pPr>
        <w:spacing w:before="120" w:line="300" w:lineRule="atLeast"/>
        <w:ind w:left="1080"/>
      </w:pPr>
      <w:r>
        <w:rPr>
          <w:b/>
        </w:rPr>
        <w:t xml:space="preserve">(1)  </w:t>
      </w:r>
      <w:bookmarkStart w:id="8" w:name="Bookmark__b_1"/>
      <w:bookmarkEnd w:id="8"/>
      <w:r>
        <w:rPr>
          <w:color w:val="000000"/>
        </w:rPr>
        <w:t>Except as provided in section 1349.71 of the Revised Code, the identity of the high-volume third party seller, in</w:t>
      </w:r>
      <w:r>
        <w:rPr>
          <w:color w:val="000000"/>
        </w:rPr>
        <w:t>cluding all of the following:</w:t>
      </w:r>
    </w:p>
    <w:p w14:paraId="3C54227A" w14:textId="77777777" w:rsidR="009975F3" w:rsidRDefault="006C0A3C">
      <w:pPr>
        <w:spacing w:before="120" w:line="300" w:lineRule="atLeast"/>
        <w:ind w:left="1440"/>
      </w:pPr>
      <w:r>
        <w:rPr>
          <w:b/>
        </w:rPr>
        <w:t xml:space="preserve">(a)  </w:t>
      </w:r>
      <w:bookmarkStart w:id="9" w:name="Bookmark__b_1_a"/>
      <w:bookmarkEnd w:id="9"/>
      <w:r>
        <w:rPr>
          <w:color w:val="000000"/>
        </w:rPr>
        <w:t>The full name of the seller, which may include the seller name or seller’s company name, or the name by which the seller or company operates on the online marketplace;</w:t>
      </w:r>
    </w:p>
    <w:p w14:paraId="02BB83E2" w14:textId="77777777" w:rsidR="009975F3" w:rsidRDefault="006C0A3C">
      <w:pPr>
        <w:spacing w:before="120" w:line="300" w:lineRule="atLeast"/>
        <w:ind w:left="1440"/>
      </w:pPr>
      <w:r>
        <w:rPr>
          <w:b/>
        </w:rPr>
        <w:t xml:space="preserve">(b)  </w:t>
      </w:r>
      <w:bookmarkStart w:id="10" w:name="Bookmark__b_1_b"/>
      <w:bookmarkEnd w:id="10"/>
      <w:r>
        <w:rPr>
          <w:color w:val="000000"/>
        </w:rPr>
        <w:t>The physical address of the seller;</w:t>
      </w:r>
    </w:p>
    <w:p w14:paraId="6EBF153E" w14:textId="77777777" w:rsidR="009975F3" w:rsidRDefault="006C0A3C">
      <w:pPr>
        <w:spacing w:before="120" w:line="300" w:lineRule="atLeast"/>
        <w:ind w:left="1440"/>
      </w:pPr>
      <w:r>
        <w:rPr>
          <w:b/>
        </w:rPr>
        <w:t xml:space="preserve">(c)  </w:t>
      </w:r>
      <w:bookmarkStart w:id="11" w:name="Bookmark__b_1_c"/>
      <w:bookmarkEnd w:id="11"/>
      <w:r>
        <w:rPr>
          <w:color w:val="000000"/>
        </w:rPr>
        <w:t>Contact</w:t>
      </w:r>
      <w:r>
        <w:rPr>
          <w:color w:val="000000"/>
        </w:rPr>
        <w:t xml:space="preserve"> information for the seller, to allow for the direct, unhindered communication with high-volume third party sellers by users of the online marketplace, including any of the following:</w:t>
      </w:r>
    </w:p>
    <w:p w14:paraId="339EE8CF" w14:textId="77777777" w:rsidR="009975F3" w:rsidRDefault="006C0A3C">
      <w:pPr>
        <w:spacing w:before="120" w:line="300" w:lineRule="atLeast"/>
        <w:ind w:left="1800"/>
      </w:pPr>
      <w:r>
        <w:rPr>
          <w:b/>
        </w:rPr>
        <w:t xml:space="preserve">(i)  </w:t>
      </w:r>
      <w:bookmarkStart w:id="12" w:name="Bookmark__b_1_c_i"/>
      <w:bookmarkEnd w:id="12"/>
      <w:r>
        <w:rPr>
          <w:color w:val="000000"/>
        </w:rPr>
        <w:t>A current working telephone number;</w:t>
      </w:r>
    </w:p>
    <w:p w14:paraId="72560C5C" w14:textId="77777777" w:rsidR="009975F3" w:rsidRDefault="006C0A3C">
      <w:pPr>
        <w:spacing w:before="120" w:line="300" w:lineRule="atLeast"/>
        <w:ind w:left="1800"/>
      </w:pPr>
      <w:r>
        <w:rPr>
          <w:b/>
        </w:rPr>
        <w:t xml:space="preserve">(ii)  </w:t>
      </w:r>
      <w:bookmarkStart w:id="13" w:name="Bookmark__b_1_c_ii"/>
      <w:bookmarkEnd w:id="13"/>
      <w:r>
        <w:rPr>
          <w:color w:val="000000"/>
        </w:rPr>
        <w:t>A current working electro</w:t>
      </w:r>
      <w:r>
        <w:rPr>
          <w:color w:val="000000"/>
        </w:rPr>
        <w:t>nic mail address; or</w:t>
      </w:r>
    </w:p>
    <w:p w14:paraId="6A252A58" w14:textId="77777777" w:rsidR="009975F3" w:rsidRDefault="006C0A3C">
      <w:pPr>
        <w:spacing w:before="120" w:line="300" w:lineRule="atLeast"/>
        <w:ind w:left="1800"/>
      </w:pPr>
      <w:r>
        <w:rPr>
          <w:b/>
        </w:rPr>
        <w:t xml:space="preserve">(iii)  </w:t>
      </w:r>
      <w:bookmarkStart w:id="14" w:name="Bookmark__b_1_c_iii"/>
      <w:bookmarkEnd w:id="14"/>
      <w:r>
        <w:rPr>
          <w:color w:val="000000"/>
        </w:rPr>
        <w:t>Other means of direct electronic messaging, which may be provided to such seller by the online marketplace.</w:t>
      </w:r>
    </w:p>
    <w:p w14:paraId="2ED654CD" w14:textId="77777777" w:rsidR="009975F3" w:rsidRDefault="006C0A3C">
      <w:pPr>
        <w:spacing w:before="120" w:line="300" w:lineRule="atLeast"/>
        <w:ind w:left="1080"/>
      </w:pPr>
      <w:r>
        <w:rPr>
          <w:b/>
        </w:rPr>
        <w:t xml:space="preserve">(2)  </w:t>
      </w:r>
      <w:bookmarkStart w:id="15" w:name="Bookmark__b_2"/>
      <w:bookmarkEnd w:id="15"/>
      <w:r>
        <w:rPr>
          <w:color w:val="000000"/>
        </w:rPr>
        <w:t>Whether the high-volume third party seller used a different seller to supply the consumer product to the consumer u</w:t>
      </w:r>
      <w:r>
        <w:rPr>
          <w:color w:val="000000"/>
        </w:rPr>
        <w:t xml:space="preserve">pon purchase, and, upon the request of an authenticated purchaser, the information described in division (B)(1) of this section relating to any such seller that </w:t>
      </w:r>
      <w:r>
        <w:rPr>
          <w:color w:val="000000"/>
        </w:rPr>
        <w:lastRenderedPageBreak/>
        <w:t>supplied the consumer product to the purchaser, if such seller is different than the high-volum</w:t>
      </w:r>
      <w:r>
        <w:rPr>
          <w:color w:val="000000"/>
        </w:rPr>
        <w:t>e third party seller listed on the product listing prior to purchase.</w:t>
      </w:r>
    </w:p>
    <w:p w14:paraId="6F800659" w14:textId="77777777" w:rsidR="009975F3" w:rsidRDefault="006C0A3C">
      <w:pPr>
        <w:keepNext/>
        <w:spacing w:before="240" w:line="340" w:lineRule="atLeast"/>
      </w:pPr>
      <w:bookmarkStart w:id="16" w:name="History"/>
      <w:bookmarkEnd w:id="16"/>
      <w:r>
        <w:rPr>
          <w:b/>
          <w:color w:val="000000"/>
          <w:sz w:val="28"/>
        </w:rPr>
        <w:t>History</w:t>
      </w:r>
    </w:p>
    <w:p w14:paraId="1D808848" w14:textId="19562F6E" w:rsidR="009975F3" w:rsidRDefault="006C0A3C">
      <w:pPr>
        <w:spacing w:line="60" w:lineRule="exact"/>
      </w:pPr>
      <w:r>
        <w:rPr>
          <w:noProof/>
        </w:rPr>
        <mc:AlternateContent>
          <mc:Choice Requires="wps">
            <w:drawing>
              <wp:anchor distT="0" distB="0" distL="114300" distR="114300" simplePos="0" relativeHeight="251659264" behindDoc="0" locked="0" layoutInCell="1" allowOverlap="1" wp14:anchorId="2A281CC5" wp14:editId="52D3905D">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A8D6B"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66F9070C" w14:textId="77777777" w:rsidR="009975F3" w:rsidRDefault="009975F3"/>
    <w:p w14:paraId="7A904FD7" w14:textId="77777777" w:rsidR="009975F3" w:rsidRDefault="006C0A3C">
      <w:pPr>
        <w:spacing w:before="120" w:line="300" w:lineRule="atLeast"/>
      </w:pPr>
      <w:r>
        <w:rPr>
          <w:color w:val="000000"/>
        </w:rPr>
        <w:t>2022 hb272, § 1, effective July 6, 2022.</w:t>
      </w:r>
    </w:p>
    <w:p w14:paraId="0D53EE4F" w14:textId="77777777" w:rsidR="009975F3" w:rsidRDefault="006C0A3C">
      <w:pPr>
        <w:spacing w:before="120" w:line="260" w:lineRule="atLeast"/>
      </w:pPr>
      <w:r>
        <w:br/>
      </w:r>
      <w:r>
        <w:rPr>
          <w:color w:val="000000"/>
          <w:sz w:val="20"/>
        </w:rPr>
        <w:t>Page’s Ohio Revised Code Annotated</w:t>
      </w:r>
    </w:p>
    <w:p w14:paraId="67EA0245" w14:textId="77777777" w:rsidR="009975F3" w:rsidRDefault="006C0A3C">
      <w:pPr>
        <w:spacing w:line="260" w:lineRule="atLeast"/>
      </w:pPr>
      <w:r>
        <w:rPr>
          <w:color w:val="000000"/>
          <w:sz w:val="20"/>
        </w:rPr>
        <w:t>Copyright © 2024 All rights reserved.</w:t>
      </w:r>
    </w:p>
    <w:p w14:paraId="17660C67" w14:textId="77777777" w:rsidR="009975F3" w:rsidRDefault="009975F3"/>
    <w:p w14:paraId="40F67E25" w14:textId="1C117106" w:rsidR="009975F3" w:rsidRDefault="006C0A3C">
      <w:pPr>
        <w:ind w:left="200"/>
      </w:pPr>
      <w:r>
        <w:br/>
      </w:r>
      <w:r>
        <w:rPr>
          <w:noProof/>
        </w:rPr>
        <mc:AlternateContent>
          <mc:Choice Requires="wps">
            <w:drawing>
              <wp:anchor distT="0" distB="0" distL="114300" distR="114300" simplePos="0" relativeHeight="251660288" behindDoc="0" locked="0" layoutInCell="1" allowOverlap="1" wp14:anchorId="5FE47C0B" wp14:editId="3BDCAE24">
                <wp:simplePos x="0" y="0"/>
                <wp:positionH relativeFrom="column">
                  <wp:posOffset>0</wp:posOffset>
                </wp:positionH>
                <wp:positionV relativeFrom="paragraph">
                  <wp:posOffset>127000</wp:posOffset>
                </wp:positionV>
                <wp:extent cx="6502400" cy="0"/>
                <wp:effectExtent l="6350" t="14605" r="6350"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DE80A"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9975F3">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D345CF" w14:textId="77777777" w:rsidR="00000000" w:rsidRDefault="006C0A3C">
      <w:r>
        <w:separator/>
      </w:r>
    </w:p>
  </w:endnote>
  <w:endnote w:type="continuationSeparator" w:id="0">
    <w:p w14:paraId="0D70962B" w14:textId="77777777" w:rsidR="00000000" w:rsidRDefault="006C0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9975F3" w14:paraId="164BA67F" w14:textId="77777777">
      <w:trPr>
        <w:jc w:val="center"/>
      </w:trPr>
      <w:tc>
        <w:tcPr>
          <w:tcW w:w="2600" w:type="dxa"/>
          <w:tcMar>
            <w:top w:w="200" w:type="dxa"/>
          </w:tcMar>
          <w:vAlign w:val="center"/>
        </w:tcPr>
        <w:p w14:paraId="39577368" w14:textId="77777777" w:rsidR="009975F3" w:rsidRDefault="009975F3"/>
      </w:tc>
      <w:tc>
        <w:tcPr>
          <w:tcW w:w="4880" w:type="dxa"/>
          <w:tcMar>
            <w:top w:w="200" w:type="dxa"/>
          </w:tcMar>
          <w:vAlign w:val="center"/>
        </w:tcPr>
        <w:p w14:paraId="6AF336C5" w14:textId="77777777" w:rsidR="009975F3" w:rsidRDefault="009975F3"/>
      </w:tc>
      <w:tc>
        <w:tcPr>
          <w:tcW w:w="2600" w:type="dxa"/>
          <w:tcMar>
            <w:top w:w="200" w:type="dxa"/>
          </w:tcMar>
          <w:vAlign w:val="center"/>
        </w:tcPr>
        <w:p w14:paraId="0F89032E" w14:textId="77777777" w:rsidR="009975F3" w:rsidRDefault="009975F3"/>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F8E3E" w14:textId="77777777" w:rsidR="009975F3" w:rsidRDefault="006C0A3C">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66FDF2" w14:textId="77777777" w:rsidR="00000000" w:rsidRDefault="006C0A3C">
      <w:r>
        <w:separator/>
      </w:r>
    </w:p>
  </w:footnote>
  <w:footnote w:type="continuationSeparator" w:id="0">
    <w:p w14:paraId="70347FF5" w14:textId="77777777" w:rsidR="00000000" w:rsidRDefault="006C0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9975F3" w14:paraId="40B48024" w14:textId="77777777">
      <w:trPr>
        <w:jc w:val="center"/>
      </w:trPr>
      <w:tc>
        <w:tcPr>
          <w:tcW w:w="10080" w:type="dxa"/>
          <w:vAlign w:val="center"/>
        </w:tcPr>
        <w:p w14:paraId="61F9A179" w14:textId="3AA76218" w:rsidR="009975F3" w:rsidRDefault="006C0A3C">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2</w:t>
          </w:r>
          <w:r>
            <w:rPr>
              <w:sz w:val="20"/>
            </w:rPr>
            <w:fldChar w:fldCharType="end"/>
          </w:r>
        </w:p>
      </w:tc>
    </w:tr>
    <w:tr w:rsidR="009975F3" w14:paraId="33DE8A55" w14:textId="77777777">
      <w:trPr>
        <w:jc w:val="center"/>
      </w:trPr>
      <w:tc>
        <w:tcPr>
          <w:tcW w:w="10080" w:type="dxa"/>
        </w:tcPr>
        <w:p w14:paraId="67A4AF1B" w14:textId="77777777" w:rsidR="009975F3" w:rsidRDefault="006C0A3C">
          <w:pPr>
            <w:spacing w:before="60" w:after="200"/>
            <w:jc w:val="center"/>
          </w:pPr>
          <w:r>
            <w:rPr>
              <w:sz w:val="20"/>
            </w:rPr>
            <w:t>§ 1349.70 Collection and dissemination of information by online marketplace.</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6C0A3C"/>
    <w:rsid w:val="009975F3"/>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9636238"/>
  <w15:docId w15:val="{8D600FCA-EB9C-4497-A207-B0E5B18F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A21972D2-AA0E-4FF4-8456-8B297C09A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CF52B9-97D7-41E3-98C2-920BD7C9F246}">
  <ds:schemaRefs>
    <ds:schemaRef ds:uri="http://schemas.microsoft.com/sharepoint/v3/contenttype/forms"/>
  </ds:schemaRefs>
</ds:datastoreItem>
</file>

<file path=customXml/itemProps3.xml><?xml version="1.0" encoding="utf-8"?>
<ds:datastoreItem xmlns:ds="http://schemas.openxmlformats.org/officeDocument/2006/customXml" ds:itemID="{90873D5D-0EDD-413E-8815-7C6B06E371AE}">
  <ds:schemaRef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4e6a8aeb-c29e-4a8a-85db-b95bdfea3467"/>
    <ds:schemaRef ds:uri="55d6ef15-79d8-436f-a155-0c344616754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2170</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1349.70 Collection and dissemination of information by online marketplace.</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1349.70 Collection and dissemination of information by online marketplace.</dc:title>
  <dc:creator>Trayce Hockstad</dc:creator>
  <cp:lastModifiedBy>Trayce Hockstad</cp:lastModifiedBy>
  <cp:revision>2</cp:revision>
  <dcterms:created xsi:type="dcterms:W3CDTF">2024-06-11T19:11:00Z</dcterms:created>
  <dcterms:modified xsi:type="dcterms:W3CDTF">2024-06-11T19:11:00Z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6579-G403-GXF6-81G9-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