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3965.03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39: Insurance (Chs. 3901 — 3999)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framework. (§§ 3965.01 — 3965.11)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3965.03 Investigation into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an outside vendor or service provider designated to act on behalf of the licensee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 or an outside vendor or service provider designated to act on behalf of the licensee shall, at a minimum, do as much of the following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shall take the actions described in division (B) of this section or make reasonable efforts to confirm and document that the third-party service provider has taken those actions.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superintendent of insurance.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sb273, § 1, effective March 20,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3965.03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3965.03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