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3965.04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involving nonpublic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Each licensee shall notify the superintendent of insurance as promptly as possible after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in the possession of the licensee has occurred, but in no event later than three business days after that determination, when either of the following criteria has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Both of the following apply:</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This state is the licensee’s state of domicile, in the case of an insurer, or this state is the licensee’s home state, in the case of an independent insurance agent.</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or a material part of the normal operations of the licensee.</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relates to two hundred fifty or more consumers residing in this state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either of the following:</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to any government body, self-regulatory agency, or any other supervisory body pursuant to any state or federal law;</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either of the following:</w:t>
      </w:r>
    </w:p>
    <w:p>
      <w:pPr>
        <w:keepNext w:val="0"/>
        <w:spacing w:before="120" w:after="0" w:line="300" w:lineRule="atLeast"/>
        <w:ind w:left="1800" w:right="0"/>
        <w:jc w:val="left"/>
      </w:pPr>
      <w:r>
        <w:rPr>
          <w:b/>
        </w:rPr>
        <w:t xml:space="preserve">(i)  </w:t>
      </w:r>
      <w:bookmarkStart w:id="8" w:name="Bookmark__a_2_b_i"/>
      <w:bookmarkEnd w:id="8"/>
      <w:r>
        <w:rPr>
          <w:rFonts w:ascii="times" w:eastAsia="times" w:hAnsi="times" w:cs="times"/>
          <w:b w:val="0"/>
          <w:i w:val="0"/>
          <w:strike w:val="0"/>
          <w:noProof w:val="0"/>
          <w:color w:val="000000"/>
          <w:position w:val="0"/>
          <w:sz w:val="24"/>
          <w:u w:val="none"/>
          <w:vertAlign w:val="baseline"/>
        </w:rPr>
        <w:t>Any consumer residing in this state;</w:t>
      </w:r>
    </w:p>
    <w:p>
      <w:pPr>
        <w:keepNext w:val="0"/>
        <w:spacing w:before="120" w:after="0" w:line="300" w:lineRule="atLeast"/>
        <w:ind w:left="1800" w:right="0"/>
        <w:jc w:val="left"/>
      </w:pPr>
      <w:r>
        <w:rPr>
          <w:b/>
        </w:rPr>
        <w:t xml:space="preserve">(ii)  </w:t>
      </w:r>
      <w:bookmarkStart w:id="9" w:name="Bookmark__a_2_b_ii"/>
      <w:bookmarkEnd w:id="9"/>
      <w:r>
        <w:rPr>
          <w:rFonts w:ascii="times" w:eastAsia="times" w:hAnsi="times" w:cs="times"/>
          <w:b w:val="0"/>
          <w:i w:val="0"/>
          <w:strike w:val="0"/>
          <w:noProof w:val="0"/>
          <w:color w:val="000000"/>
          <w:position w:val="0"/>
          <w:sz w:val="24"/>
          <w:u w:val="none"/>
          <w:vertAlign w:val="baseline"/>
        </w:rPr>
        <w:t>Any material part of the normal operations of the licensee.</w:t>
      </w:r>
    </w:p>
    <w:p>
      <w:pPr>
        <w:spacing w:before="120" w:line="240" w:lineRule="atLeast"/>
        <w:ind w:left="720"/>
      </w:pPr>
      <w:r>
        <w:rPr>
          <w:b/>
        </w:rPr>
        <w:t xml:space="preserve">(B)  </w:t>
      </w:r>
      <w:bookmarkStart w:id="10" w:name="Bookmark__b"/>
      <w:bookmarkEnd w:id="10"/>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In providing the notification described in division (A) of this section, the licensee shall provide as much of the following information as possible:</w:t>
      </w:r>
    </w:p>
    <w:p>
      <w:pPr>
        <w:keepNext w:val="0"/>
        <w:spacing w:before="120" w:after="0" w:line="300" w:lineRule="atLeast"/>
        <w:ind w:left="1440" w:right="0"/>
        <w:jc w:val="left"/>
      </w:pPr>
      <w:r>
        <w:rPr>
          <w:b/>
        </w:rPr>
        <w:t xml:space="preserve">(a)  </w:t>
      </w:r>
      <w:bookmarkStart w:id="12" w:name="Bookmark__b_1_a"/>
      <w:bookmarkEnd w:id="12"/>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13" w:name="Bookmark__b_1_b"/>
      <w:bookmarkEnd w:id="13"/>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any third-party service providers;</w:t>
      </w:r>
    </w:p>
    <w:p>
      <w:pPr>
        <w:keepNext w:val="0"/>
        <w:spacing w:before="120" w:after="0" w:line="300" w:lineRule="atLeast"/>
        <w:ind w:left="1440" w:right="0"/>
        <w:jc w:val="left"/>
      </w:pPr>
      <w:r>
        <w:rPr>
          <w:b/>
        </w:rPr>
        <w:t xml:space="preserve">(c)  </w:t>
      </w:r>
      <w:bookmarkStart w:id="14" w:name="Bookmark__b_1_c"/>
      <w:bookmarkEnd w:id="14"/>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(d)  </w:t>
      </w:r>
      <w:bookmarkStart w:id="15" w:name="Bookmark__b_1_d"/>
      <w:bookmarkEnd w:id="15"/>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440" w:right="0"/>
        <w:jc w:val="left"/>
      </w:pPr>
      <w:r>
        <w:rPr>
          <w:b/>
        </w:rPr>
        <w:t xml:space="preserve">(e)  </w:t>
      </w:r>
      <w:bookmarkStart w:id="16" w:name="Bookmark__b_1_e"/>
      <w:bookmarkEnd w:id="16"/>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(f)  </w:t>
      </w:r>
      <w:bookmarkStart w:id="17" w:name="Bookmark__b_1_f"/>
      <w:bookmarkEnd w:id="17"/>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such notification was provided;</w:t>
      </w:r>
    </w:p>
    <w:p>
      <w:pPr>
        <w:keepNext w:val="0"/>
        <w:spacing w:before="120" w:after="0" w:line="300" w:lineRule="atLeast"/>
        <w:ind w:left="1440" w:right="0"/>
        <w:jc w:val="left"/>
      </w:pPr>
      <w:r>
        <w:rPr>
          <w:b/>
        </w:rPr>
        <w:t xml:space="preserve">(g)  </w:t>
      </w:r>
      <w:bookmarkStart w:id="18" w:name="Bookmark__b_1_g"/>
      <w:bookmarkEnd w:id="18"/>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“Specific types of information” means particular data elements, including types of medical information, types of financial information, or types of information allowing identification of the consumer.</w:t>
      </w:r>
    </w:p>
    <w:p>
      <w:pPr>
        <w:keepNext w:val="0"/>
        <w:spacing w:before="120" w:after="0" w:line="300" w:lineRule="atLeast"/>
        <w:ind w:left="1440" w:right="0"/>
        <w:jc w:val="left"/>
      </w:pPr>
      <w:r>
        <w:rPr>
          <w:b/>
        </w:rPr>
        <w:t xml:space="preserve">(h)  </w:t>
      </w:r>
      <w:bookmarkStart w:id="19" w:name="Bookmark__b_1_h"/>
      <w:bookmarkEnd w:id="19"/>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(i)  </w:t>
      </w:r>
      <w:bookmarkStart w:id="20" w:name="Bookmark__b_1_i"/>
      <w:bookmarkEnd w:id="20"/>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superintendent and update this estimate with each subsequent report to the superintendent pursuant to this section.</w:t>
      </w:r>
    </w:p>
    <w:p>
      <w:pPr>
        <w:keepNext w:val="0"/>
        <w:spacing w:before="120" w:after="0" w:line="300" w:lineRule="atLeast"/>
        <w:ind w:left="1440" w:right="0"/>
        <w:jc w:val="left"/>
      </w:pPr>
      <w:r>
        <w:rPr>
          <w:b/>
        </w:rPr>
        <w:t xml:space="preserve">(j)  </w:t>
      </w:r>
      <w:bookmarkStart w:id="21" w:name="Bookmark__b_1_j"/>
      <w:bookmarkEnd w:id="21"/>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440" w:right="0"/>
        <w:jc w:val="left"/>
      </w:pPr>
      <w:r>
        <w:rPr>
          <w:b/>
        </w:rPr>
        <w:t xml:space="preserve">(k)  </w:t>
      </w:r>
      <w:bookmarkStart w:id="22" w:name="Bookmark__b_1_k"/>
      <w:bookmarkEnd w:id="22"/>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(l)  </w:t>
      </w:r>
      <w:bookmarkStart w:id="23" w:name="Bookmark__b_1_l"/>
      <w:bookmarkEnd w:id="23"/>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(m)  </w:t>
      </w:r>
      <w:bookmarkStart w:id="24" w:name="Bookmark__b_1_m"/>
      <w:bookmarkEnd w:id="24"/>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1080" w:right="0"/>
        <w:jc w:val="left"/>
      </w:pPr>
      <w:r>
        <w:rPr>
          <w:b/>
        </w:rPr>
        <w:t xml:space="preserve">(2)  </w:t>
      </w:r>
      <w:bookmarkStart w:id="25" w:name="Bookmark__b_2"/>
      <w:bookmarkEnd w:id="25"/>
      <w:r>
        <w:rPr>
          <w:rFonts w:ascii="times" w:eastAsia="times" w:hAnsi="times" w:cs="times"/>
          <w:b w:val="0"/>
          <w:i w:val="0"/>
          <w:strike w:val="0"/>
          <w:noProof w:val="0"/>
          <w:color w:val="000000"/>
          <w:position w:val="0"/>
          <w:sz w:val="24"/>
          <w:u w:val="none"/>
          <w:vertAlign w:val="baseline"/>
        </w:rPr>
        <w:t xml:space="preserve">The licensee shall provide the information in electronic form as directed by the superintendent. The licensee shall have a continuing obligation to update and supplement initial and subsequent notifications to the superintendent regarding material developments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(C)  </w:t>
      </w:r>
      <w:bookmarkStart w:id="26" w:name="Bookmark__c"/>
      <w:bookmarkEnd w:id="26"/>
      <w:r>
        <w:rPr>
          <w:rFonts w:ascii="times" w:eastAsia="times" w:hAnsi="times" w:cs="times"/>
          <w:b w:val="0"/>
          <w:i w:val="0"/>
          <w:strike w:val="0"/>
          <w:noProof w:val="0"/>
          <w:color w:val="000000"/>
          <w:position w:val="0"/>
          <w:sz w:val="24"/>
          <w:u w:val="none"/>
          <w:vertAlign w:val="baseline"/>
        </w:rPr>
        <w:t>A licensee shall comply with section 1349.19 of the Revised Code as applicable and provide a copy of the notice sent to consumers under that section to the superintendent, when the licensee is required to notify the superintendent under division (A) of this section.</w:t>
      </w:r>
    </w:p>
    <w:p>
      <w:pPr>
        <w:spacing w:before="120" w:line="240" w:lineRule="atLeast"/>
        <w:ind w:left="720"/>
      </w:pPr>
      <w:r>
        <w:rPr>
          <w:b/>
        </w:rPr>
        <w:t xml:space="preserve">(D)  </w:t>
      </w:r>
      <w:bookmarkStart w:id="27" w:name="Bookmark__d"/>
      <w:bookmarkEnd w:id="27"/>
    </w:p>
    <w:p>
      <w:pPr>
        <w:keepNext w:val="0"/>
        <w:spacing w:before="120" w:after="0" w:line="300" w:lineRule="atLeast"/>
        <w:ind w:left="1080" w:right="0"/>
        <w:jc w:val="left"/>
      </w:pPr>
      <w:r>
        <w:rPr>
          <w:b/>
        </w:rPr>
        <w:t xml:space="preserve">(1)  </w:t>
      </w:r>
      <w:bookmarkStart w:id="28" w:name="Bookmark__d_1"/>
      <w:bookmarkEnd w:id="28"/>
      <w:r>
        <w:rPr>
          <w:rFonts w:ascii="times" w:eastAsia="times" w:hAnsi="times" w:cs="times"/>
          <w:b w:val="0"/>
          <w:i w:val="0"/>
          <w:strike w:val="0"/>
          <w:noProof w:val="0"/>
          <w:color w:val="000000"/>
          <w:position w:val="0"/>
          <w:sz w:val="24"/>
          <w:u w:val="none"/>
          <w:vertAlign w:val="baseline"/>
        </w:rPr>
        <w:t xml:space="preserve">If a licensee becomes aware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the licensee shall treat the event as it would under division (A) of this section.</w:t>
      </w:r>
    </w:p>
    <w:p>
      <w:pPr>
        <w:keepNext w:val="0"/>
        <w:spacing w:before="120" w:after="0" w:line="300" w:lineRule="atLeast"/>
        <w:ind w:left="1080" w:right="0"/>
        <w:jc w:val="left"/>
      </w:pPr>
      <w:r>
        <w:rPr>
          <w:b/>
        </w:rPr>
        <w:t xml:space="preserve">(2)  </w:t>
      </w:r>
      <w:bookmarkStart w:id="29" w:name="Bookmark__d_2"/>
      <w:bookmarkEnd w:id="29"/>
      <w:r>
        <w:rPr>
          <w:rFonts w:ascii="times" w:eastAsia="times" w:hAnsi="times" w:cs="times"/>
          <w:b w:val="0"/>
          <w:i w:val="0"/>
          <w:strike w:val="0"/>
          <w:noProof w:val="0"/>
          <w:color w:val="000000"/>
          <w:position w:val="0"/>
          <w:sz w:val="24"/>
          <w:u w:val="none"/>
          <w:vertAlign w:val="baseline"/>
        </w:rPr>
        <w:t xml:space="preserve">The computation of the licensee’s deadlines specified in this section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(3)  </w:t>
      </w:r>
      <w:bookmarkStart w:id="30" w:name="Bookmark__d_3"/>
      <w:bookmarkEnd w:id="30"/>
      <w:r>
        <w:rPr>
          <w:rFonts w:ascii="times" w:eastAsia="times" w:hAnsi="times" w:cs="times"/>
          <w:b w:val="0"/>
          <w:i w:val="0"/>
          <w:strike w:val="0"/>
          <w:noProof w:val="0"/>
          <w:color w:val="000000"/>
          <w:position w:val="0"/>
          <w:sz w:val="24"/>
          <w:u w:val="none"/>
          <w:vertAlign w:val="baseline"/>
        </w:rPr>
        <w:t>Nothing in this chapter shall prevent or abrogate an agreement between a licensee and another licensee, a third-party service provider, or any other party to fulfill any of the investigation requirements imposed under section 3965.03 of the Revised Code or notice requirements imposed under this section.</w:t>
      </w:r>
    </w:p>
    <w:p>
      <w:pPr>
        <w:spacing w:before="120" w:line="240" w:lineRule="atLeast"/>
        <w:ind w:left="720"/>
      </w:pPr>
      <w:r>
        <w:rPr>
          <w:b/>
        </w:rPr>
        <w:t xml:space="preserve">(E)  </w:t>
      </w:r>
      <w:bookmarkStart w:id="31" w:name="Bookmark__e"/>
      <w:bookmarkEnd w:id="31"/>
    </w:p>
    <w:p>
      <w:pPr>
        <w:keepNext w:val="0"/>
        <w:spacing w:before="120" w:after="0" w:line="300" w:lineRule="atLeast"/>
        <w:ind w:left="1080" w:right="0"/>
        <w:jc w:val="left"/>
      </w:pPr>
      <w:r>
        <w:rPr>
          <w:b/>
        </w:rPr>
        <w:t xml:space="preserve">(1)  </w:t>
      </w:r>
      <w:bookmarkStart w:id="32" w:name="Bookmark__e_1"/>
      <w:bookmarkEnd w:id="3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or in the possession, custody, or control of a licensee that is acting as an assuming insurer, including an assuming insurer that is domiciled in another state or jurisdiction, and that does not have a direct contractual relationship with the affected consumers, both of the following apply:</w:t>
      </w:r>
    </w:p>
    <w:p>
      <w:pPr>
        <w:keepNext w:val="0"/>
        <w:spacing w:before="120" w:after="0" w:line="300" w:lineRule="atLeast"/>
        <w:ind w:left="1440" w:right="0"/>
        <w:jc w:val="left"/>
      </w:pPr>
      <w:r>
        <w:rPr>
          <w:b/>
        </w:rPr>
        <w:t xml:space="preserve">(a)  </w:t>
      </w:r>
      <w:bookmarkStart w:id="33" w:name="Bookmark__e_1_a"/>
      <w:bookmarkEnd w:id="33"/>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insurance commissioner of its state or jurisdiction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34" w:name="Bookmark__e_1_b"/>
      <w:bookmarkEnd w:id="34"/>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section 1349.19 of the Revised Code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(2)  </w:t>
      </w:r>
      <w:bookmarkStart w:id="35" w:name="Bookmark__e_2"/>
      <w:bookmarkEnd w:id="3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licensee’s third-party service provider, when the licensee is acting as an assuming insurer, including an assuming insurer that is domiciled in another state or jurisdiction, both of the following apply:</w:t>
      </w:r>
    </w:p>
    <w:p>
      <w:pPr>
        <w:keepNext w:val="0"/>
        <w:spacing w:before="120" w:after="0" w:line="300" w:lineRule="atLeast"/>
        <w:ind w:left="1440" w:right="0"/>
        <w:jc w:val="left"/>
      </w:pPr>
      <w:r>
        <w:rPr>
          <w:b/>
        </w:rPr>
        <w:t xml:space="preserve">(a)  </w:t>
      </w:r>
      <w:bookmarkStart w:id="36" w:name="Bookmark__e_2_a"/>
      <w:bookmarkEnd w:id="36"/>
      <w:r>
        <w:rPr>
          <w:rFonts w:ascii="times" w:eastAsia="times" w:hAnsi="times" w:cs="times"/>
          <w:b w:val="0"/>
          <w:i w:val="0"/>
          <w:strike w:val="0"/>
          <w:noProof w:val="0"/>
          <w:color w:val="000000"/>
          <w:position w:val="0"/>
          <w:sz w:val="24"/>
          <w:u w:val="none"/>
          <w:vertAlign w:val="baseline"/>
        </w:rPr>
        <w:t xml:space="preserve">The assuming insurer shall notify its affected ceding insurers and the insurance commissioner of its state or jurisdiction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37" w:name="Bookmark__e_2_b"/>
      <w:bookmarkEnd w:id="37"/>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section 1349.19 of the Revised Code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(3)  </w:t>
      </w:r>
      <w:bookmarkStart w:id="38" w:name="Bookmark__e_3"/>
      <w:bookmarkEnd w:id="38"/>
      <w:r>
        <w:rPr>
          <w:rFonts w:ascii="times" w:eastAsia="times" w:hAnsi="times" w:cs="times"/>
          <w:b w:val="0"/>
          <w:i w:val="0"/>
          <w:strike w:val="0"/>
          <w:noProof w:val="0"/>
          <w:color w:val="000000"/>
          <w:position w:val="0"/>
          <w:sz w:val="24"/>
          <w:u w:val="none"/>
          <w:vertAlign w:val="baseline"/>
        </w:rPr>
        <w:t xml:space="preserve">Any licensee acting as an assuming insurer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division (A) of this section.</w:t>
      </w:r>
    </w:p>
    <w:p>
      <w:pPr>
        <w:keepNext w:val="0"/>
        <w:spacing w:before="120" w:after="0" w:line="300" w:lineRule="atLeast"/>
        <w:ind w:left="720" w:right="0"/>
        <w:jc w:val="left"/>
      </w:pPr>
      <w:r>
        <w:rPr>
          <w:b/>
        </w:rPr>
        <w:t xml:space="preserve">(F)  </w:t>
      </w:r>
      <w:bookmarkStart w:id="39" w:name="Bookmark__f"/>
      <w:bookmarkEnd w:id="39"/>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that was obtained by the insurer from a consumer accessing the insurer’s services through an independent insurance agent, and for which disclosure or notice is required under section 1349.19 of the Revised Code, the insurer shall notify the independent insurance agents of record of all affected consumers.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insurer is excused from this obligation for any independent insurance agents who are not authorized by law or contract to sell, solicit, or negotiate on behalf of the insurer, and for those instances in which the insurer does not have the current independent insurance agent of record information for an individual consumer.</w:t>
      </w:r>
    </w:p>
    <w:p>
      <w:pPr>
        <w:keepNext/>
        <w:spacing w:before="240" w:after="0" w:line="340" w:lineRule="atLeast"/>
        <w:ind w:left="0" w:right="0" w:firstLine="0"/>
        <w:jc w:val="left"/>
      </w:pPr>
      <w:bookmarkStart w:id="40" w:name="History"/>
      <w:bookmarkEnd w:id="4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