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50 Okl. St. § 16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50. Nuisances  (Chs.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In General  (§§ 1 — 21)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16. Cities and Towns—Abatement of Nuisances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Cities and towns in this state shall have the right and power to determine what is and what shall constitute a nuisance within their respective corporate limits, and for the protection of the public health, the public parks and the public water supply, shall have such power outside of the corporate limits; and wherever it is practical so to do, the cities and towns shall have the power summarily to abate any such nuisance after notice to the owner, and an opportunity for him to be heard, if this can be given. Any action conducted by critical infrastructure sectors shall not constitute a nuisance when the applicable industry acts in compliance with or acts consistently with government rules, guidelines, laws and municipal ordinances or laws applicable to their sector.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For purposes of this section, “critical infrastructure sectors” means any of the critical infrastructure sectors identified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 (CISA) whose assets, systems and networks, whether physical or virtual, are considered so vital to the United States and the state that the sectors’ incapacitation or destruction would have a debilitating effect on security, economic security, public health or safety or any combination thereof.</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1935, HB 431, p. 131, § 1, emerg. eff. May 8, 1935; Amended by Laws 2021, SB 939, c. 425, § 1, eff. November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50 Okl. St. § 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 Okl. St. § 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