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276A.570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Public Facilities, Contracting and Insurance (Chs. 276 — 283)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276A- Information Technology (§§ 276A.200 — 276A.575)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Oregon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Center of Excellence (§§ 276A.550 — 276A.575)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276A.570 Oregon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Workforce Development Fund; biennial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Fund is established in the State Treasury, separate and distinct from the General Fund. Interest earned by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Fund must be credited to the fund.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Moneys in the fund shall consist of:</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Amounts donated to the fund;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Amounts appropriated or otherwise transferred to the fund by the Legislative Assembly;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Other amounts deposited in the fund from any source.</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Moneys in the fund are continuously appropriated to the Higher Education Coordinating Commission for distribution to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for the purposes of making targeted investments in workforce development programs designed to accelerate the growth, qualifications and availability of Oregon’s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The center shall submit to the Governor and to the appropriate committees of the Legislative Assembly, in the manner provided under ORS 192.245, a biennial report that summarizes the balance of the fund, lists the deposits into and expenditures from the fund and provides such other details as necessary regarding the operation of the fund.</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c.489, § 9, effective July 31, 2023, operative October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ORS § 276A.570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 § 276A.570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