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276A.575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Public Facilities, Contracting and Insurance (Chs. 276 — 283)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276A- Information Technology (§§ 276A.200 — 276A.575)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Oregon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Center of Excellence (§§ 276A.550 — 276A.575)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276A.575 Oregon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Grant Program Fund; standards and requirements; biennial report.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Grant Program Fund is established in the State Treasury, separate and distinct from the General Fund. Interest earned by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Grant Program Fund must be credited to the fund.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Moneys in the fund shall consist of:</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Amounts donated to the fund;</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Amounts appropriated or otherwise transferred to the fund by the Legislative Assembly; and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Other amounts deposited in the fund from any source.</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 xml:space="preserve">Moneys in the fund are continuously appropriated to the Higher Education Coordinating Commission for distribution to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for the purposes of providing:</w:t>
      </w:r>
    </w:p>
    <w:p>
      <w:pPr>
        <w:keepNext w:val="0"/>
        <w:spacing w:before="120" w:after="0" w:line="300" w:lineRule="atLeast"/>
        <w:ind w:left="1080" w:right="0"/>
        <w:jc w:val="left"/>
      </w:pPr>
      <w:r>
        <w:rPr>
          <w:b/>
        </w:rPr>
        <w:t xml:space="preserve">(a)  </w:t>
      </w:r>
      <w:bookmarkStart w:id="7" w:name="Bookmark__3_a"/>
      <w:bookmarkEnd w:id="7"/>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 scanning and analysis, monitoring, incident response and technical assistance and other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-related goods and services to Oregon public bodies on a competitive basis with specific emphasis on serving the unmet needs of local governments, regional governments, special districts, education service districts, school districts and libraries.</w:t>
      </w:r>
    </w:p>
    <w:p>
      <w:pPr>
        <w:keepNext w:val="0"/>
        <w:spacing w:before="120" w:after="0" w:line="300" w:lineRule="atLeast"/>
        <w:ind w:left="1080" w:right="0"/>
        <w:jc w:val="left"/>
      </w:pPr>
      <w:r>
        <w:rPr>
          <w:b/>
        </w:rPr>
        <w:t xml:space="preserve">(b)  </w:t>
      </w:r>
      <w:bookmarkStart w:id="8" w:name="Bookmark__3_b"/>
      <w:bookmarkEnd w:id="8"/>
      <w:r>
        <w:rPr>
          <w:rFonts w:ascii="times" w:eastAsia="times" w:hAnsi="times" w:cs="times"/>
          <w:b w:val="0"/>
          <w:i w:val="0"/>
          <w:strike w:val="0"/>
          <w:noProof w:val="0"/>
          <w:color w:val="000000"/>
          <w:position w:val="0"/>
          <w:sz w:val="24"/>
          <w:u w:val="none"/>
          <w:vertAlign w:val="baseline"/>
        </w:rPr>
        <w:t xml:space="preserve">Matching funds for federal moneys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received by public bodies.</w:t>
      </w:r>
    </w:p>
    <w:p>
      <w:pPr>
        <w:keepNext w:val="0"/>
        <w:spacing w:before="120" w:after="0" w:line="300" w:lineRule="atLeast"/>
        <w:ind w:left="720" w:right="0"/>
        <w:jc w:val="left"/>
      </w:pPr>
      <w:r>
        <w:rPr>
          <w:b/>
        </w:rPr>
        <w:t xml:space="preserve">(4)  </w:t>
      </w:r>
      <w:bookmarkStart w:id="9" w:name="Bookmark__4"/>
      <w:bookmarkEnd w:id="9"/>
      <w:r>
        <w:rPr>
          <w:rFonts w:ascii="times" w:eastAsia="times" w:hAnsi="times" w:cs="times"/>
          <w:b w:val="0"/>
          <w:i w:val="0"/>
          <w:strike w:val="0"/>
          <w:noProof w:val="0"/>
          <w:color w:val="000000"/>
          <w:position w:val="0"/>
          <w:sz w:val="24"/>
          <w:u w:val="none"/>
          <w:vertAlign w:val="baseline"/>
        </w:rPr>
        <w:t xml:space="preserve">The center shall adopt standards, objectives, criteria and eligibility requirements for the use of moneys distributed from the fund. In developing criteria and eligibility standards, the center shall take into consideration any requirements of federal programs awarding moneys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(5)  </w:t>
      </w:r>
      <w:bookmarkStart w:id="10" w:name="Bookmark__5"/>
      <w:bookmarkEnd w:id="10"/>
      <w:r>
        <w:rPr>
          <w:rFonts w:ascii="times" w:eastAsia="times" w:hAnsi="times" w:cs="times"/>
          <w:b w:val="0"/>
          <w:i w:val="0"/>
          <w:strike w:val="0"/>
          <w:noProof w:val="0"/>
          <w:color w:val="000000"/>
          <w:position w:val="0"/>
          <w:sz w:val="24"/>
          <w:u w:val="none"/>
          <w:vertAlign w:val="baseline"/>
        </w:rPr>
        <w:t>The center shall submit to the Governor and to the appropriate committees of the Legislative Assembly, in the manner provided under ORS 192.245, a biennial report that summarizes the balance of the fund, lists the deposits into and expenditures from the fund and provides such other details as necessary regarding the operation of the fund.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(Deadlines)</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c.489, § 10, effective July 31, 2023, operative October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ORS § 276A.575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ORS § 276A.575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