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40 Pa.C.S. § 4517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40. Insurance (Pts.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Regulation of Insurers and Related Persons Generally (Chs. 33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45. Insurance Data Security (Subchs. A — 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B. Procedures (§§ 4511 — 4518)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4517. Investigation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Requirement. 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discovers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regarding the licensee, the licensee or an outside vendor or service provider designated to act on behalf of the licensee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Determination. 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an investigation under this section, the licensee or an outside vendor or service provider designated to act on behalf of the licensee shall, at a minimum, do as much of the following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 or use of nonpublic information in the licensee’s possession, custody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Third-party service provider. 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licensee shall complete the steps specified in subsection (b) or confirm and document that the third-party service provider has completed those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Records. 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2023-2 (H.B. 739), § 1, approved June 14, 2023, effective December 11,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40 Pa.C.S. § 4517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Pa.C.S. § 4517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