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38-99-10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Insurance (Chs. 1 — 101)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99. South Carolina Insurance Data Security Act (§§ 38-99-10 — 38-99-100)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38-99-10.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nonpublic information held by the licensee and its information systems.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“Consumer” means an individual including, but not limited to, an applicant, policyholder, insured, beneficiary, claimant, and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the disruption or misuse of an information system or information stored on an information system. The term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the unauthorized acquisition of encrypted nonpublic information if the encryption, process or key is not also acquired, released or used without authorization. The term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also does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“Department” means the Department of Insurance.</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“Director” means the Director of the Department of Insurance or his designee.</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information, as well as any specialized system such as industrial or process controls systems, telephone switching and private branch exchange systems, and environmental control systems.</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“Licensee” means a person licensed, authorized to operate, or registered, or required to be licensed, authorized, or registered pursuant to the insurance laws of this State but does not include a purchasing group or a risk retention group chartered and licensed in a state other than this State or a licensee that is acting as an assuming insurer that is domiciled in another state or jurisdiction.</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authentication factors:</w:t>
      </w:r>
    </w:p>
    <w:p>
      <w:pPr>
        <w:keepNext w:val="0"/>
        <w:spacing w:before="120" w:after="0" w:line="300" w:lineRule="atLeast"/>
        <w:ind w:left="1440" w:right="0"/>
        <w:jc w:val="left"/>
      </w:pPr>
      <w:r>
        <w:rPr>
          <w:b/>
        </w:rPr>
        <w:t xml:space="preserve">(a)  </w:t>
      </w:r>
      <w:bookmarkStart w:id="11" w:name="Bookmark__10_a"/>
      <w:bookmarkEnd w:id="11"/>
      <w:r>
        <w:rPr>
          <w:rFonts w:ascii="times" w:eastAsia="times" w:hAnsi="times" w:cs="times"/>
          <w:b w:val="0"/>
          <w:i w:val="0"/>
          <w:strike w:val="0"/>
          <w:noProof w:val="0"/>
          <w:color w:val="000000"/>
          <w:position w:val="0"/>
          <w:sz w:val="24"/>
          <w:u w:val="none"/>
          <w:vertAlign w:val="baseline"/>
        </w:rPr>
        <w:t>knowledge factors, such as a password; or</w:t>
      </w:r>
    </w:p>
    <w:p>
      <w:pPr>
        <w:keepNext w:val="0"/>
        <w:spacing w:before="120" w:after="0" w:line="300" w:lineRule="atLeast"/>
        <w:ind w:left="1440" w:right="0"/>
        <w:jc w:val="left"/>
      </w:pPr>
      <w:r>
        <w:rPr>
          <w:b/>
        </w:rPr>
        <w:t xml:space="preserve">(b)  </w:t>
      </w:r>
      <w:bookmarkStart w:id="12" w:name="Bookmark__10_b"/>
      <w:bookmarkEnd w:id="12"/>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440" w:right="0"/>
        <w:jc w:val="left"/>
      </w:pPr>
      <w:r>
        <w:rPr>
          <w:b/>
        </w:rPr>
        <w:t xml:space="preserve">(c)  </w:t>
      </w:r>
      <w:bookmarkStart w:id="13" w:name="Bookmark__10_c"/>
      <w:bookmarkEnd w:id="13"/>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(11)  </w:t>
      </w:r>
      <w:bookmarkStart w:id="14" w:name="Bookmark__11"/>
      <w:bookmarkEnd w:id="14"/>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is:</w:t>
      </w:r>
    </w:p>
    <w:p>
      <w:pPr>
        <w:keepNext w:val="0"/>
        <w:spacing w:before="120" w:after="0" w:line="300" w:lineRule="atLeast"/>
        <w:ind w:left="1440" w:right="0"/>
        <w:jc w:val="left"/>
      </w:pPr>
      <w:r>
        <w:rPr>
          <w:b/>
        </w:rPr>
        <w:t xml:space="preserve">(a)  </w:t>
      </w:r>
      <w:bookmarkStart w:id="15" w:name="Bookmark__11_a"/>
      <w:bookmarkEnd w:id="15"/>
      <w:r>
        <w:rPr>
          <w:rFonts w:ascii="times" w:eastAsia="times" w:hAnsi="times" w:cs="times"/>
          <w:b w:val="0"/>
          <w:i w:val="0"/>
          <w:strike w:val="0"/>
          <w:noProof w:val="0"/>
          <w:color w:val="000000"/>
          <w:position w:val="0"/>
          <w:sz w:val="24"/>
          <w:u w:val="none"/>
          <w:vertAlign w:val="baseline"/>
        </w:rPr>
        <w:t>business-related information of a licensee the tampering with which, or unauthorized disclosure, access, or use of which, would cause a material adverse impact to the business, operations, or security of the licensee;</w:t>
      </w:r>
    </w:p>
    <w:p>
      <w:pPr>
        <w:keepNext w:val="0"/>
        <w:spacing w:before="120" w:after="0" w:line="300" w:lineRule="atLeast"/>
        <w:ind w:left="1440" w:right="0"/>
        <w:jc w:val="left"/>
      </w:pPr>
      <w:r>
        <w:rPr>
          <w:b/>
        </w:rPr>
        <w:t xml:space="preserve">(b)  </w:t>
      </w:r>
      <w:bookmarkStart w:id="16" w:name="Bookmark__11_b"/>
      <w:bookmarkEnd w:id="16"/>
      <w:r>
        <w:rPr>
          <w:rFonts w:ascii="times" w:eastAsia="times" w:hAnsi="times" w:cs="times"/>
          <w:b w:val="0"/>
          <w:i w:val="0"/>
          <w:strike w:val="0"/>
          <w:noProof w:val="0"/>
          <w:color w:val="000000"/>
          <w:position w:val="0"/>
          <w:sz w:val="24"/>
          <w:u w:val="none"/>
          <w:vertAlign w:val="baseline"/>
        </w:rPr>
        <w:t>any information concerning a consumer which because of name, number, personal mark, or other identifier can be used to identify such consumer, in combination with any one or more of the following data elements:</w:t>
      </w:r>
    </w:p>
    <w:p>
      <w:pPr>
        <w:keepNext w:val="0"/>
        <w:spacing w:before="120" w:after="0" w:line="300" w:lineRule="atLeast"/>
        <w:ind w:left="1800" w:right="0"/>
        <w:jc w:val="left"/>
      </w:pPr>
      <w:r>
        <w:rPr>
          <w:b/>
        </w:rPr>
        <w:t xml:space="preserve">(i)  </w:t>
      </w:r>
      <w:bookmarkStart w:id="17" w:name="Bookmark__11_b_i"/>
      <w:bookmarkEnd w:id="17"/>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18" w:name="Bookmark__11_b_ii"/>
      <w:bookmarkEnd w:id="18"/>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(iii)  </w:t>
      </w:r>
      <w:bookmarkStart w:id="19" w:name="Bookmark__11_b_iii"/>
      <w:bookmarkEnd w:id="19"/>
      <w:r>
        <w:rPr>
          <w:rFonts w:ascii="times" w:eastAsia="times" w:hAnsi="times" w:cs="times"/>
          <w:b w:val="0"/>
          <w:i w:val="0"/>
          <w:strike w:val="0"/>
          <w:noProof w:val="0"/>
          <w:color w:val="000000"/>
          <w:position w:val="0"/>
          <w:sz w:val="24"/>
          <w:u w:val="none"/>
          <w:vertAlign w:val="baseline"/>
        </w:rPr>
        <w:t>account number, credit or debit card number;</w:t>
      </w:r>
    </w:p>
    <w:p>
      <w:pPr>
        <w:keepNext w:val="0"/>
        <w:spacing w:before="120" w:after="0" w:line="300" w:lineRule="atLeast"/>
        <w:ind w:left="1800" w:right="0"/>
        <w:jc w:val="left"/>
      </w:pPr>
      <w:r>
        <w:rPr>
          <w:b/>
        </w:rPr>
        <w:t xml:space="preserve">(iv)  </w:t>
      </w:r>
      <w:bookmarkStart w:id="20" w:name="Bookmark__11_b_iv"/>
      <w:bookmarkEnd w:id="20"/>
      <w:r>
        <w:rPr>
          <w:rFonts w:ascii="times" w:eastAsia="times" w:hAnsi="times" w:cs="times"/>
          <w:b w:val="0"/>
          <w:i w:val="0"/>
          <w:strike w:val="0"/>
          <w:noProof w:val="0"/>
          <w:color w:val="000000"/>
          <w:position w:val="0"/>
          <w:sz w:val="24"/>
          <w:u w:val="none"/>
          <w:vertAlign w:val="baseline"/>
        </w:rPr>
        <w:t>security code, access code, or password that would permit access to a consumer’s financial account; or</w:t>
      </w:r>
    </w:p>
    <w:p>
      <w:pPr>
        <w:keepNext w:val="0"/>
        <w:spacing w:before="120" w:after="0" w:line="300" w:lineRule="atLeast"/>
        <w:ind w:left="1800" w:right="0"/>
        <w:jc w:val="left"/>
      </w:pPr>
      <w:r>
        <w:rPr>
          <w:b/>
        </w:rPr>
        <w:t xml:space="preserve">(v)  </w:t>
      </w:r>
      <w:bookmarkStart w:id="21" w:name="Bookmark__11_b_v"/>
      <w:bookmarkEnd w:id="21"/>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(c)  </w:t>
      </w:r>
      <w:bookmarkStart w:id="22" w:name="Bookmark__11_c"/>
      <w:bookmarkEnd w:id="22"/>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and that relates to:</w:t>
      </w:r>
    </w:p>
    <w:p>
      <w:pPr>
        <w:keepNext w:val="0"/>
        <w:spacing w:before="120" w:after="0" w:line="300" w:lineRule="atLeast"/>
        <w:ind w:left="1800" w:right="0"/>
        <w:jc w:val="left"/>
      </w:pPr>
      <w:r>
        <w:rPr>
          <w:b/>
        </w:rPr>
        <w:t xml:space="preserve">(i)  </w:t>
      </w:r>
      <w:bookmarkStart w:id="23" w:name="Bookmark__11_c_i"/>
      <w:bookmarkEnd w:id="23"/>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 consumer or a member of the consumer’s family;</w:t>
      </w:r>
    </w:p>
    <w:p>
      <w:pPr>
        <w:keepNext w:val="0"/>
        <w:spacing w:before="120" w:after="0" w:line="300" w:lineRule="atLeast"/>
        <w:ind w:left="1800" w:right="0"/>
        <w:jc w:val="left"/>
      </w:pPr>
      <w:r>
        <w:rPr>
          <w:b/>
        </w:rPr>
        <w:t xml:space="preserve">(ii)  </w:t>
      </w:r>
      <w:bookmarkStart w:id="24" w:name="Bookmark__11_c_ii"/>
      <w:bookmarkEnd w:id="24"/>
      <w:r>
        <w:rPr>
          <w:rFonts w:ascii="times" w:eastAsia="times" w:hAnsi="times" w:cs="times"/>
          <w:b w:val="0"/>
          <w:i w:val="0"/>
          <w:strike w:val="0"/>
          <w:noProof w:val="0"/>
          <w:color w:val="000000"/>
          <w:position w:val="0"/>
          <w:sz w:val="24"/>
          <w:u w:val="none"/>
          <w:vertAlign w:val="baseline"/>
        </w:rPr>
        <w:t>the provision of health care to a consumer; or</w:t>
      </w:r>
    </w:p>
    <w:p>
      <w:pPr>
        <w:keepNext w:val="0"/>
        <w:spacing w:before="120" w:after="0" w:line="300" w:lineRule="atLeast"/>
        <w:ind w:left="1800" w:right="0"/>
        <w:jc w:val="left"/>
      </w:pPr>
      <w:r>
        <w:rPr>
          <w:b/>
        </w:rPr>
        <w:t xml:space="preserve">(iii)  </w:t>
      </w:r>
      <w:bookmarkStart w:id="25" w:name="Bookmark__11_c_iii"/>
      <w:bookmarkEnd w:id="25"/>
      <w:r>
        <w:rPr>
          <w:rFonts w:ascii="times" w:eastAsia="times" w:hAnsi="times" w:cs="times"/>
          <w:b w:val="0"/>
          <w:i w:val="0"/>
          <w:strike w:val="0"/>
          <w:noProof w:val="0"/>
          <w:color w:val="000000"/>
          <w:position w:val="0"/>
          <w:sz w:val="24"/>
          <w:u w:val="none"/>
          <w:vertAlign w:val="baseline"/>
        </w:rPr>
        <w:t>payment for the provision of health care to a consumer.</w:t>
      </w:r>
    </w:p>
    <w:p>
      <w:pPr>
        <w:keepNext w:val="0"/>
        <w:spacing w:before="120" w:after="0" w:line="300" w:lineRule="atLeast"/>
        <w:ind w:left="1080" w:right="0"/>
        <w:jc w:val="left"/>
      </w:pPr>
      <w:r>
        <w:rPr>
          <w:b/>
        </w:rPr>
        <w:t xml:space="preserve">(12)  </w:t>
      </w:r>
      <w:bookmarkStart w:id="26" w:name="Bookmark__12"/>
      <w:bookmarkEnd w:id="26"/>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 nongovernmental partnership, corporation, branch, agency, or association.</w:t>
      </w:r>
    </w:p>
    <w:p>
      <w:pPr>
        <w:keepNext w:val="0"/>
        <w:spacing w:before="120" w:after="0" w:line="300" w:lineRule="atLeast"/>
        <w:ind w:left="1080" w:right="0"/>
        <w:jc w:val="left"/>
      </w:pPr>
      <w:r>
        <w:rPr>
          <w:b/>
        </w:rPr>
        <w:t xml:space="preserve">(13)  </w:t>
      </w:r>
      <w:bookmarkStart w:id="27" w:name="Bookmark__13"/>
      <w:bookmarkEnd w:id="27"/>
      <w:r>
        <w:rPr>
          <w:rFonts w:ascii="times" w:eastAsia="times" w:hAnsi="times" w:cs="times"/>
          <w:b w:val="0"/>
          <w:i w:val="0"/>
          <w:strike w:val="0"/>
          <w:noProof w:val="0"/>
          <w:color w:val="000000"/>
          <w:position w:val="0"/>
          <w:sz w:val="24"/>
          <w:u w:val="none"/>
          <w:vertAlign w:val="baseline"/>
        </w:rPr>
        <w:t>“Publicly available information” means information that a licensee has a reasonable basis to believe is lawfully made available to the general public from federal, state, or local governmental records, widely distributed media, or disclosures to the general public that are required to be made by federal, state, or local law. For the purposes of this item, a licensee has a reasonable basis to believe information is lawfully made available to the general public if the licensee has taken steps to determine:</w:t>
      </w:r>
    </w:p>
    <w:p>
      <w:pPr>
        <w:keepNext w:val="0"/>
        <w:spacing w:before="120" w:after="0" w:line="300" w:lineRule="atLeast"/>
        <w:ind w:left="1440" w:right="0"/>
        <w:jc w:val="left"/>
      </w:pPr>
      <w:r>
        <w:rPr>
          <w:b/>
        </w:rPr>
        <w:t xml:space="preserve">(a)  </w:t>
      </w:r>
      <w:bookmarkStart w:id="28" w:name="Bookmark__13_a"/>
      <w:bookmarkEnd w:id="28"/>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440" w:right="0"/>
        <w:jc w:val="left"/>
      </w:pPr>
      <w:r>
        <w:rPr>
          <w:b/>
        </w:rPr>
        <w:t xml:space="preserve">(b)  </w:t>
      </w:r>
      <w:bookmarkStart w:id="29" w:name="Bookmark__13_b"/>
      <w:bookmarkEnd w:id="29"/>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the consumer has not done so.</w:t>
      </w:r>
    </w:p>
    <w:p>
      <w:pPr>
        <w:keepNext w:val="0"/>
        <w:spacing w:before="120" w:after="0" w:line="300" w:lineRule="atLeast"/>
        <w:ind w:left="1080" w:right="0"/>
        <w:jc w:val="left"/>
      </w:pPr>
      <w:r>
        <w:rPr>
          <w:b/>
        </w:rPr>
        <w:t xml:space="preserve">(14)  </w:t>
      </w:r>
      <w:bookmarkStart w:id="30" w:name="Bookmark__14"/>
      <w:bookmarkEnd w:id="30"/>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this chapter.</w:t>
      </w:r>
    </w:p>
    <w:p>
      <w:pPr>
        <w:keepNext w:val="0"/>
        <w:spacing w:before="120" w:after="0" w:line="300" w:lineRule="atLeast"/>
        <w:ind w:left="1080" w:right="0"/>
        <w:jc w:val="left"/>
      </w:pPr>
      <w:r>
        <w:rPr>
          <w:b/>
        </w:rPr>
        <w:t xml:space="preserve">(15)  </w:t>
      </w:r>
      <w:bookmarkStart w:id="31" w:name="Bookmark__15"/>
      <w:bookmarkEnd w:id="31"/>
      <w:r>
        <w:rPr>
          <w:rFonts w:ascii="times" w:eastAsia="times" w:hAnsi="times" w:cs="times"/>
          <w:b w:val="0"/>
          <w:i w:val="0"/>
          <w:strike w:val="0"/>
          <w:noProof w:val="0"/>
          <w:color w:val="000000"/>
          <w:position w:val="0"/>
          <w:sz w:val="24"/>
          <w:u w:val="none"/>
          <w:vertAlign w:val="baseline"/>
        </w:rPr>
        <w:t>“State” means the State of South Carolina.</w:t>
      </w:r>
    </w:p>
    <w:p>
      <w:pPr>
        <w:keepNext w:val="0"/>
        <w:spacing w:before="120" w:after="0" w:line="300" w:lineRule="atLeast"/>
        <w:ind w:left="1080" w:right="0"/>
        <w:jc w:val="left"/>
      </w:pPr>
      <w:r>
        <w:rPr>
          <w:b/>
        </w:rPr>
        <w:t xml:space="preserve">(16)  </w:t>
      </w:r>
      <w:bookmarkStart w:id="32" w:name="Bookmark__16"/>
      <w:bookmarkEnd w:id="32"/>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store or otherwise is permitted access to nonpublic information through its provision of services to the licensee.</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Act No. 171, § 3, effective January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38-99-10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38-99-10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