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3.1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 w:val="0"/>
        </w:sectPr>
      </w:pPr>
    </w:p>
    <w:p>
      <w:bookmarkStart w:id="0" w:name="Bookmark_4"/>
      <w:bookmarkEnd w:id="0"/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S.C. Code Ann. § 38-99-30</w:t>
      </w:r>
    </w:p>
    <w:p>
      <w:pPr>
        <w:keepNext w:val="0"/>
        <w:spacing w:before="120" w:after="0" w:line="300" w:lineRule="atLeast"/>
        <w:ind w:left="0" w:right="0" w:firstLine="0"/>
        <w:jc w:val="center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This document is current through 2024 Regular Session Act No. 120, not including changes and corrections made by the Code Commissioner. </w:t>
      </w:r>
    </w:p>
    <w:p>
      <w:pPr>
        <w:keepNext w:val="0"/>
        <w:spacing w:after="0" w:line="240" w:lineRule="atLeast"/>
        <w:ind w:right="0"/>
        <w:jc w:val="both"/>
      </w:pPr>
    </w:p>
    <w:p>
      <w:pPr>
        <w:keepNext w:val="0"/>
        <w:spacing w:before="200" w:after="0" w:line="280" w:lineRule="atLeast"/>
        <w:ind w:left="0" w:right="0" w:firstLine="0"/>
        <w:jc w:val="left"/>
      </w:pP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South Carolina Code of Laws Annotated by LexisNexis®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Title 38. Insurance (Chs. 1 — 101)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2"/>
          <w:u w:val="none"/>
          <w:vertAlign w:val="baseline"/>
        </w:rPr>
        <w:t xml:space="preserve">  &gt;  </w:t>
      </w:r>
      <w:r>
        <w:rPr>
          <w:rFonts w:ascii="times" w:eastAsia="times" w:hAnsi="times" w:cs="times"/>
          <w:b/>
          <w:i/>
          <w:strike w:val="0"/>
          <w:noProof w:val="0"/>
          <w:color w:val="000000"/>
          <w:position w:val="0"/>
          <w:sz w:val="22"/>
          <w:u w:val="none"/>
          <w:vertAlign w:val="baseline"/>
        </w:rPr>
        <w:t>Chapter 99. South Carolina Insurance Data Security Act (§§ 38-99-10 — 38-99-100)</w:t>
      </w:r>
    </w:p>
    <w:p>
      <w:pPr>
        <w:keepNext/>
        <w:spacing w:before="240" w:after="0" w:line="34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§  38-99-30. Investigation of 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cybersecurity</w:t>
      </w:r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 xml:space="preserve"> event. </w:t>
      </w:r>
    </w:p>
    <w:p>
      <w:pPr>
        <w:spacing w:line="60" w:lineRule="exact"/>
      </w:pPr>
      <w:r>
        <w:pict>
          <v:line id="_x0000_s1025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(A)  </w:t>
      </w:r>
      <w:bookmarkStart w:id="1" w:name="Bookmark__a"/>
      <w:bookmarkEnd w:id="1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If a licensee learns that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has occurred or may have occurred, the licensee, an outside vendor, or service provider designated to act on behalf of the licensee must conduct a prompt investigation of the event.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(B)  </w:t>
      </w:r>
      <w:bookmarkStart w:id="2" w:name="Bookmark__b"/>
      <w:bookmarkEnd w:id="2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During the investigation, the licensee, outside vendor, or service provider designated to act on behalf of the licensee shall, at a minimum: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(1)  </w:t>
      </w:r>
      <w:bookmarkStart w:id="3" w:name="Bookmark__b_1"/>
      <w:bookmarkEnd w:id="3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determine whether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occurred;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(2)  </w:t>
      </w:r>
      <w:bookmarkStart w:id="4" w:name="Bookmark__b_2"/>
      <w:bookmarkEnd w:id="4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assess the nature and scope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event;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(3)  </w:t>
      </w:r>
      <w:bookmarkStart w:id="5" w:name="Bookmark__b_3"/>
      <w:bookmarkEnd w:id="5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identify nonpublic information that may have been involved in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event; and</w:t>
      </w:r>
    </w:p>
    <w:p>
      <w:pPr>
        <w:keepNext w:val="0"/>
        <w:spacing w:before="120" w:after="0" w:line="300" w:lineRule="atLeast"/>
        <w:ind w:left="1080" w:right="0"/>
        <w:jc w:val="left"/>
      </w:pPr>
      <w:r>
        <w:rPr>
          <w:b/>
        </w:rPr>
        <w:t xml:space="preserve">(4)  </w:t>
      </w:r>
      <w:bookmarkStart w:id="6" w:name="Bookmark__b_4"/>
      <w:bookmarkEnd w:id="6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perform or oversee reasonable measures to restore the security of the information systems compromised in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in order to prevent further unauthorized acquisition, release, or use of nonpublic information in the licensee’s possession, custody, or control.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(C)  </w:t>
      </w:r>
      <w:bookmarkStart w:id="7" w:name="Bookmark__c"/>
      <w:bookmarkEnd w:id="7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If the licensee learns that a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has occurred or may have occurred in a system maintained by a third-party service provider, the licensee shall complete an investigation pursuant to the requirements of this section or confirm and document that the third-party service provider has completed an investigation pursuant to the requirements of this section.</w:t>
      </w:r>
    </w:p>
    <w:p>
      <w:pPr>
        <w:keepNext w:val="0"/>
        <w:spacing w:before="120" w:after="0" w:line="300" w:lineRule="atLeast"/>
        <w:ind w:left="720" w:right="0"/>
        <w:jc w:val="left"/>
      </w:pPr>
      <w:r>
        <w:rPr>
          <w:b/>
        </w:rPr>
        <w:t xml:space="preserve">(D)  </w:t>
      </w:r>
      <w:bookmarkStart w:id="8" w:name="Bookmark__d"/>
      <w:bookmarkEnd w:id="8"/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The licensee shall maintain records concerning all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events for a period of at least five years from the date of the 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cybersecurity</w:t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 xml:space="preserve"> event and produce those records upon demand of the director.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9" w:name="History"/>
      <w:bookmarkEnd w:id="9"/>
      <w:r>
        <w:rPr>
          <w:rFonts w:ascii="times" w:eastAsia="times" w:hAnsi="times" w:cs="times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History</w:t>
      </w:r>
    </w:p>
    <w:p>
      <w:pPr>
        <w:spacing w:line="60" w:lineRule="exact"/>
      </w:pPr>
      <w:r>
        <w:pict>
          <v:line id="_x0000_s1026" style="position:absolute;z-index:251659264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120" w:after="0" w:line="30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4"/>
          <w:u w:val="none"/>
          <w:vertAlign w:val="baseline"/>
        </w:rPr>
        <w:t>2018 Act No. 171, § 3, effective January 1, 2019.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South Carolina Code of Laws Annotated by LexisNexis® </w:t>
      </w: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times" w:eastAsia="times" w:hAnsi="times" w:cs="times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Copyright © 2024 All rights reserved.</w:t>
      </w:r>
    </w:p>
    <w:p/>
    <w:p>
      <w:pPr>
        <w:ind w:left="200"/>
      </w:pPr>
      <w:r>
        <w:br/>
      </w:r>
      <w:r>
        <w:pict>
          <v:line id="_x0000_s1027" style="position:absolute;z-index:251660288" from="0,10pt" to="512pt,10pt" strokecolor="black" strokeweight="1pt">
            <v:stroke linestyle="single"/>
          </v:line>
        </w:pict>
      </w:r>
      <w:r>
        <w:rPr>
          <w:rFonts w:ascii="times" w:eastAsia="times" w:hAnsi="times" w:cs="times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times" w:eastAsia="times" w:hAnsi="times" w:cs="times"/>
              <w:sz w:val="20"/>
            </w:rPr>
            <w:t xml:space="preserve">Page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PAGE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  <w:r>
            <w:rPr>
              <w:rFonts w:ascii="times" w:eastAsia="times" w:hAnsi="times" w:cs="times"/>
              <w:sz w:val="20"/>
            </w:rPr>
            <w:t xml:space="preserve"> of </w:t>
          </w:r>
          <w:r>
            <w:rPr>
              <w:rFonts w:ascii="times" w:eastAsia="times" w:hAnsi="times" w:cs="times"/>
              <w:sz w:val="20"/>
            </w:rPr>
            <w:fldChar w:fldCharType="begin"/>
          </w:r>
          <w:r>
            <w:rPr>
              <w:rFonts w:ascii="times" w:eastAsia="times" w:hAnsi="times" w:cs="times"/>
              <w:sz w:val="20"/>
            </w:rPr>
            <w:instrText xml:space="preserve"> NUMPAGES </w:instrText>
          </w:r>
          <w:r>
            <w:rPr>
              <w:rFonts w:ascii="times" w:eastAsia="times" w:hAnsi="times" w:cs="times"/>
              <w:sz w:val="20"/>
            </w:rPr>
            <w:fldChar w:fldCharType="separate"/>
          </w:r>
          <w:r>
            <w:rPr>
              <w:rFonts w:ascii="times" w:eastAsia="times" w:hAnsi="times" w:cs="times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times" w:eastAsia="times" w:hAnsi="times" w:cs="times"/>
              <w:sz w:val="20"/>
            </w:rPr>
            <w:t>S.C. Code Ann. § 38-99-30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times" w:eastAsia="times" w:hAnsi="times" w:cs="times"/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theme" Target="theme/theme1.xml" /><Relationship Id="rId8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S.C. Code Ann. § 38-99-30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4</vt:lpwstr>
  </property>
  <property fmtid="{D5CDD505-2E9C-101B-9397-08002B2CF9AE}" pid="3" name="LADocCount">
    <vt:lpwstr>1</vt:lpwstr>
  </property>
  <property fmtid="{D5CDD505-2E9C-101B-9397-08002B2CF9AE}" pid="4" name="LADocumentID:4">
    <vt:lpwstr>Doc::urn:hlct:15|contextualFeaturePermID::1519360</vt:lpwstr>
  </property>
  <property fmtid="{D5CDD505-2E9C-101B-9397-08002B2CF9AE}" pid="5" name="UserPermID">
    <vt:lpwstr>urn:user:PA186163333</vt:lpwstr>
  </property>
</Properties>
</file>