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38-99-40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Insurance (Chs. 1 — 101)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99. South Carolina Insurance Data Security Act (§§ 38-99-10 — 38-99-100)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38-99-40. Licensee to notify director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occurence.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director no later than seventy-two hours after determining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when either of the following criteria are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South Carolina is the licensee’s state of domicile in the case of an insurer, or the licensee’s home state in the case of a producer;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involved is of no less than two hundred and fifty consumers residing in this State,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impacts the licensee of which notice is required to be provided to any governmental body, self-regulatory agency, or any other supervisory body pursuant to state or federal law;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has a reasonable likelihood of materially harming a consumer residing in this State or a material part of the normal operations of the licensee.</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 xml:space="preserve">The licensee shall provide as much of the following information as possible. The licensee shall provide the information in electronic form as directed by the director. The licensee shall have a continuing obligation to update and supplement initial and subsequent notifications to the director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information sent to the director must include:</w:t>
      </w:r>
    </w:p>
    <w:p>
      <w:pPr>
        <w:keepNext w:val="0"/>
        <w:spacing w:before="120" w:after="0" w:line="300" w:lineRule="atLeast"/>
        <w:ind w:left="1080" w:right="0"/>
        <w:jc w:val="left"/>
      </w:pPr>
      <w:r>
        <w:rPr>
          <w:b/>
        </w:rPr>
        <w:t xml:space="preserve">(1)  </w:t>
      </w:r>
      <w:bookmarkStart w:id="7" w:name="Bookmark__b_1"/>
      <w:bookmarkEnd w:id="7"/>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8" w:name="Bookmark__b_2"/>
      <w:bookmarkEnd w:id="8"/>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9" w:name="Bookmark__b_3"/>
      <w:bookmarkEnd w:id="9"/>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0" w:name="Bookmark__b_4"/>
      <w:bookmarkEnd w:id="10"/>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11" w:name="Bookmark__b_5"/>
      <w:bookmarkEnd w:id="11"/>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2" w:name="Bookmark__b_6"/>
      <w:bookmarkEnd w:id="12"/>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governmental or law enforcement agencies and, if so, when such notification was provided;</w:t>
      </w:r>
    </w:p>
    <w:p>
      <w:pPr>
        <w:keepNext w:val="0"/>
        <w:spacing w:before="120" w:after="0" w:line="300" w:lineRule="atLeast"/>
        <w:ind w:left="1080" w:right="0"/>
        <w:jc w:val="left"/>
      </w:pPr>
      <w:r>
        <w:rPr>
          <w:b/>
        </w:rPr>
        <w:t xml:space="preserve">(7)  </w:t>
      </w:r>
      <w:bookmarkStart w:id="13" w:name="Bookmark__b_7"/>
      <w:bookmarkEnd w:id="13"/>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which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14" w:name="Bookmark__b_8"/>
      <w:bookmarkEnd w:id="14"/>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5" w:name="Bookmark__b_9"/>
      <w:bookmarkEnd w:id="15"/>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which case the licensee shall provide the best estimate in the initial report to the director and update this estimate with each subsequent report to the director pursuant to this section;</w:t>
      </w:r>
    </w:p>
    <w:p>
      <w:pPr>
        <w:keepNext w:val="0"/>
        <w:spacing w:before="120" w:after="0" w:line="300" w:lineRule="atLeast"/>
        <w:ind w:left="1080" w:right="0"/>
        <w:jc w:val="left"/>
      </w:pPr>
      <w:r>
        <w:rPr>
          <w:b/>
        </w:rPr>
        <w:t xml:space="preserve">(10)  </w:t>
      </w:r>
      <w:bookmarkStart w:id="16" w:name="Bookmark__b_10"/>
      <w:bookmarkEnd w:id="16"/>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17" w:name="Bookmark__b_11"/>
      <w:bookmarkEnd w:id="17"/>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18" w:name="Bookmark__b_12"/>
      <w:bookmarkEnd w:id="18"/>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(13)  </w:t>
      </w:r>
      <w:bookmarkStart w:id="19" w:name="Bookmark__b_13"/>
      <w:bookmarkEnd w:id="19"/>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on behalf of the licensee.</w:t>
      </w:r>
    </w:p>
    <w:p>
      <w:pPr>
        <w:keepNext w:val="0"/>
        <w:spacing w:before="120" w:after="0" w:line="300" w:lineRule="atLeast"/>
        <w:ind w:left="720" w:right="0"/>
        <w:jc w:val="left"/>
      </w:pPr>
      <w:r>
        <w:rPr>
          <w:b/>
        </w:rPr>
        <w:t xml:space="preserve">(C)  </w:t>
      </w:r>
      <w:bookmarkStart w:id="20" w:name="Bookmark__c"/>
      <w:bookmarkEnd w:id="20"/>
      <w:r>
        <w:rPr>
          <w:rFonts w:ascii="times" w:eastAsia="times" w:hAnsi="times" w:cs="times"/>
          <w:b w:val="0"/>
          <w:i w:val="0"/>
          <w:strike w:val="0"/>
          <w:noProof w:val="0"/>
          <w:color w:val="000000"/>
          <w:position w:val="0"/>
          <w:sz w:val="24"/>
          <w:u w:val="none"/>
          <w:vertAlign w:val="baseline"/>
        </w:rPr>
        <w:t>A licensee shall comply with the notice requirements of Section 39-1-90, and other applicable law and provide a copy of the notice sent to consumers to the director when a licensee is required to notify the director.</w:t>
      </w:r>
    </w:p>
    <w:p>
      <w:pPr>
        <w:spacing w:before="120" w:line="240" w:lineRule="atLeast"/>
        <w:ind w:left="720"/>
      </w:pPr>
      <w:r>
        <w:rPr>
          <w:b/>
        </w:rPr>
        <w:t xml:space="preserve">(D)  </w:t>
      </w:r>
      <w:bookmarkStart w:id="21" w:name="Bookmark__d"/>
      <w:bookmarkEnd w:id="21"/>
    </w:p>
    <w:p>
      <w:pPr>
        <w:keepNext w:val="0"/>
        <w:spacing w:before="120" w:after="0" w:line="300" w:lineRule="atLeast"/>
        <w:ind w:left="1080" w:right="0"/>
        <w:jc w:val="left"/>
      </w:pPr>
      <w:r>
        <w:rPr>
          <w:b/>
        </w:rPr>
        <w:t xml:space="preserve">(1)  </w:t>
      </w:r>
      <w:bookmarkStart w:id="22" w:name="Bookmark__d_1"/>
      <w:bookmarkEnd w:id="2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such event as it would under subsection (A).</w:t>
      </w:r>
    </w:p>
    <w:p>
      <w:pPr>
        <w:keepNext w:val="0"/>
        <w:spacing w:before="120" w:after="0" w:line="300" w:lineRule="atLeast"/>
        <w:ind w:left="1080" w:right="0"/>
        <w:jc w:val="left"/>
      </w:pPr>
      <w:r>
        <w:rPr>
          <w:b/>
        </w:rPr>
        <w:t xml:space="preserve">(2)  </w:t>
      </w:r>
      <w:bookmarkStart w:id="23" w:name="Bookmark__d_2"/>
      <w:bookmarkEnd w:id="23"/>
      <w:r>
        <w:rPr>
          <w:rFonts w:ascii="times" w:eastAsia="times" w:hAnsi="times" w:cs="times"/>
          <w:b w:val="0"/>
          <w:i w:val="0"/>
          <w:strike w:val="0"/>
          <w:noProof w:val="0"/>
          <w:color w:val="000000"/>
          <w:position w:val="0"/>
          <w:sz w:val="24"/>
          <w:u w:val="none"/>
          <w:vertAlign w:val="baseline"/>
        </w:rPr>
        <w:t xml:space="preserve">The computation of the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(3)  </w:t>
      </w:r>
      <w:bookmarkStart w:id="24" w:name="Bookmark__d_3"/>
      <w:bookmarkEnd w:id="24"/>
      <w:r>
        <w:rPr>
          <w:rFonts w:ascii="times" w:eastAsia="times" w:hAnsi="times" w:cs="times"/>
          <w:b w:val="0"/>
          <w:i w:val="0"/>
          <w:strike w:val="0"/>
          <w:noProof w:val="0"/>
          <w:color w:val="000000"/>
          <w:position w:val="0"/>
          <w:sz w:val="24"/>
          <w:u w:val="none"/>
          <w:vertAlign w:val="baseline"/>
        </w:rPr>
        <w:t>Nothing in this chapter shall prevent or abrogate an agreement between a licensee and another licensee, a third-party service provider or any other party to fulfill any of the investigation requirements or notice requirements imposed under this chapter.</w:t>
      </w:r>
    </w:p>
    <w:p>
      <w:pPr>
        <w:spacing w:before="120" w:line="240" w:lineRule="atLeast"/>
        <w:ind w:left="720"/>
      </w:pPr>
      <w:r>
        <w:rPr>
          <w:b/>
        </w:rPr>
        <w:t xml:space="preserve">(E)  </w:t>
      </w:r>
      <w:bookmarkStart w:id="25" w:name="Bookmark__e"/>
      <w:bookmarkEnd w:id="25"/>
    </w:p>
    <w:p>
      <w:pPr>
        <w:spacing w:before="120" w:line="240" w:lineRule="atLeast"/>
        <w:ind w:left="1080"/>
      </w:pPr>
      <w:r>
        <w:rPr>
          <w:b/>
        </w:rPr>
        <w:t xml:space="preserve">(1)  </w:t>
      </w:r>
      <w:bookmarkStart w:id="26" w:name="Bookmark__e_1"/>
      <w:bookmarkEnd w:id="26"/>
    </w:p>
    <w:p>
      <w:pPr>
        <w:keepNext w:val="0"/>
        <w:spacing w:before="120" w:after="0" w:line="300" w:lineRule="atLeast"/>
        <w:ind w:left="1440" w:right="0"/>
        <w:jc w:val="left"/>
      </w:pPr>
      <w:r>
        <w:rPr>
          <w:b/>
        </w:rPr>
        <w:t xml:space="preserve">(a)  </w:t>
      </w:r>
      <w:bookmarkStart w:id="27" w:name="Bookmark__e_1_a"/>
      <w:bookmarkEnd w:id="27"/>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used by the licensee who is acting as an assuming insurer or in the possession, custody, or control of a licensee who is acting as an assuming insurer and that does not have a direct contractual relationship with the affected consumers, the assuming insurer shall notify its affected ceding insurers and the director of its state of domicile within seventy-two hours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28" w:name="Bookmark__e_1_b"/>
      <w:bookmarkEnd w:id="28"/>
      <w:r>
        <w:rPr>
          <w:rFonts w:ascii="times" w:eastAsia="times" w:hAnsi="times" w:cs="times"/>
          <w:b w:val="0"/>
          <w:i w:val="0"/>
          <w:strike w:val="0"/>
          <w:noProof w:val="0"/>
          <w:color w:val="000000"/>
          <w:position w:val="0"/>
          <w:sz w:val="24"/>
          <w:u w:val="none"/>
          <w:vertAlign w:val="baseline"/>
        </w:rPr>
        <w:t xml:space="preserve">A ceding insurer that has a direct contractual relationship with affected consumers shall fulfill the consumer notification requirements imposed under Section 39-1-90, and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chapter.</w:t>
      </w:r>
    </w:p>
    <w:p>
      <w:pPr>
        <w:spacing w:before="120" w:line="240" w:lineRule="atLeast"/>
        <w:ind w:left="1080"/>
      </w:pPr>
      <w:r>
        <w:rPr>
          <w:b/>
        </w:rPr>
        <w:t xml:space="preserve">(2)  </w:t>
      </w:r>
      <w:bookmarkStart w:id="29" w:name="Bookmark__e_2"/>
      <w:bookmarkEnd w:id="29"/>
    </w:p>
    <w:p>
      <w:pPr>
        <w:keepNext w:val="0"/>
        <w:spacing w:before="120" w:after="0" w:line="300" w:lineRule="atLeast"/>
        <w:ind w:left="1440" w:right="0"/>
        <w:jc w:val="left"/>
      </w:pPr>
      <w:r>
        <w:rPr>
          <w:b/>
        </w:rPr>
        <w:t xml:space="preserve">(a)  </w:t>
      </w:r>
      <w:bookmarkStart w:id="30" w:name="Bookmark__e_2_a"/>
      <w:bookmarkEnd w:id="30"/>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who is an assuming insurer, the assuming insurer shall notify its affected ceding insurers and the director of its state of domicile within seventy-two hours after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31" w:name="Bookmark__e_2_b"/>
      <w:bookmarkEnd w:id="31"/>
      <w:r>
        <w:rPr>
          <w:rFonts w:ascii="times" w:eastAsia="times" w:hAnsi="times" w:cs="times"/>
          <w:b w:val="0"/>
          <w:i w:val="0"/>
          <w:strike w:val="0"/>
          <w:noProof w:val="0"/>
          <w:color w:val="000000"/>
          <w:position w:val="0"/>
          <w:sz w:val="24"/>
          <w:u w:val="none"/>
          <w:vertAlign w:val="baseline"/>
        </w:rPr>
        <w:t xml:space="preserve">A ceding insurer that has a direct contractual relationship with affected consumers shall fulfill the consumer notification requirements of Section 39-1-90, and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chapter.</w:t>
      </w:r>
    </w:p>
    <w:p>
      <w:pPr>
        <w:keepNext w:val="0"/>
        <w:spacing w:before="120" w:after="0" w:line="300" w:lineRule="atLeast"/>
        <w:ind w:left="720" w:right="0"/>
        <w:jc w:val="left"/>
      </w:pPr>
      <w:r>
        <w:rPr>
          <w:b/>
        </w:rPr>
        <w:t xml:space="preserve">(F)  </w:t>
      </w:r>
      <w:bookmarkStart w:id="32" w:name="Bookmark__f"/>
      <w:bookmarkEnd w:id="3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as soon as practicable as directed by the director. The insurer is excused from this obligation for those instances in which it does not have the current producer of record information for an individual consumer.</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Act No. 171, § 3, effective January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38-99-40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38-99-40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