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F2E892" w14:textId="77777777" w:rsidR="005A5238" w:rsidRDefault="005A5238">
      <w:pPr>
        <w:sectPr w:rsidR="005A5238">
          <w:headerReference w:type="default" r:id="rId9"/>
          <w:footerReference w:type="default" r:id="rId10"/>
          <w:footerReference w:type="first" r:id="rId11"/>
          <w:pgSz w:w="12240" w:h="15840"/>
          <w:pgMar w:top="840" w:right="1000" w:bottom="840" w:left="1000" w:header="400" w:footer="400" w:gutter="0"/>
          <w:cols w:space="720"/>
          <w:titlePg/>
        </w:sectPr>
      </w:pPr>
      <w:bookmarkStart w:id="0" w:name="_GoBack"/>
      <w:bookmarkEnd w:id="0"/>
    </w:p>
    <w:p w14:paraId="1DD0FF6F" w14:textId="77777777" w:rsidR="005A5238" w:rsidRDefault="005A5238"/>
    <w:p w14:paraId="75E4095B" w14:textId="77777777" w:rsidR="005A5238" w:rsidRDefault="00C65A57">
      <w:pPr>
        <w:pStyle w:val="Heading1"/>
        <w:keepNext w:val="0"/>
        <w:spacing w:after="200" w:line="340" w:lineRule="atLeast"/>
        <w:jc w:val="center"/>
      </w:pPr>
      <w:r>
        <w:rPr>
          <w:rFonts w:ascii="Times" w:hAnsi="Times" w:cs="Times"/>
          <w:color w:val="000000"/>
          <w:sz w:val="28"/>
        </w:rPr>
        <w:t xml:space="preserve">S.C. Code </w:t>
      </w:r>
      <w:r>
        <w:rPr>
          <w:rFonts w:ascii="Times" w:hAnsi="Times" w:cs="Times"/>
          <w:color w:val="000000"/>
          <w:sz w:val="28"/>
        </w:rPr>
        <w:t>Ann. § 39-8-100</w:t>
      </w:r>
    </w:p>
    <w:p w14:paraId="4847E590" w14:textId="77777777" w:rsidR="005A5238" w:rsidRDefault="00C65A57">
      <w:pPr>
        <w:spacing w:before="120" w:line="300" w:lineRule="atLeast"/>
        <w:jc w:val="center"/>
      </w:pPr>
      <w:r>
        <w:rPr>
          <w:color w:val="000000"/>
        </w:rPr>
        <w:t xml:space="preserve"> This document is current through 2024 Regular Session Act No. 120, not including changes and corrections made by the Code Commissioner. </w:t>
      </w:r>
    </w:p>
    <w:p w14:paraId="093EA8BF" w14:textId="77777777" w:rsidR="005A5238" w:rsidRDefault="005A5238">
      <w:pPr>
        <w:spacing w:line="240" w:lineRule="atLeast"/>
        <w:jc w:val="both"/>
      </w:pPr>
      <w:bookmarkStart w:id="1" w:name="Bookmark_12"/>
      <w:bookmarkEnd w:id="1"/>
    </w:p>
    <w:p w14:paraId="43DC5C49" w14:textId="77777777" w:rsidR="005A5238" w:rsidRDefault="00C65A57">
      <w:pPr>
        <w:spacing w:before="200" w:line="280" w:lineRule="atLeast"/>
      </w:pPr>
      <w:r>
        <w:rPr>
          <w:b/>
          <w:i/>
          <w:color w:val="000000"/>
          <w:sz w:val="22"/>
        </w:rPr>
        <w:t xml:space="preserve">South Carolina Code of Laws Annotated by LexisNexis® </w:t>
      </w:r>
      <w:r>
        <w:rPr>
          <w:b/>
          <w:color w:val="000000"/>
          <w:sz w:val="22"/>
        </w:rPr>
        <w:t xml:space="preserve">  &gt;  </w:t>
      </w:r>
      <w:r>
        <w:rPr>
          <w:b/>
          <w:i/>
          <w:color w:val="000000"/>
          <w:sz w:val="22"/>
        </w:rPr>
        <w:t>Title 39. Trade and Commerce (Chs. 1 — 79)</w:t>
      </w:r>
      <w:r>
        <w:rPr>
          <w:b/>
          <w:color w:val="000000"/>
          <w:sz w:val="22"/>
        </w:rPr>
        <w:t xml:space="preserve"> </w:t>
      </w:r>
      <w:r>
        <w:rPr>
          <w:b/>
          <w:color w:val="000000"/>
          <w:sz w:val="22"/>
        </w:rPr>
        <w:t xml:space="preserve"> &gt;  </w:t>
      </w:r>
      <w:r>
        <w:rPr>
          <w:b/>
          <w:i/>
          <w:color w:val="000000"/>
          <w:sz w:val="22"/>
        </w:rPr>
        <w:t>Chapter 8. Trade Secrets (§§ 39-8-1 — 39-8-130)</w:t>
      </w:r>
    </w:p>
    <w:p w14:paraId="77CD3F7F" w14:textId="77777777" w:rsidR="005A5238" w:rsidRDefault="00C65A57">
      <w:pPr>
        <w:keepNext/>
        <w:spacing w:before="240" w:line="340" w:lineRule="atLeast"/>
      </w:pPr>
      <w:r>
        <w:br/>
      </w:r>
      <w:r>
        <w:rPr>
          <w:b/>
          <w:color w:val="000000"/>
          <w:sz w:val="28"/>
        </w:rPr>
        <w:t>§ 39-8-100. Criminal proceedings; finding of disclosure of trade secrets; issuance of protective order.</w:t>
      </w:r>
    </w:p>
    <w:p w14:paraId="1809E952" w14:textId="1F55FF95" w:rsidR="005A5238" w:rsidRDefault="00C65A57">
      <w:pPr>
        <w:spacing w:line="6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069FF82" wp14:editId="205606F7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6502400" cy="0"/>
                <wp:effectExtent l="15875" t="14605" r="15875" b="13970"/>
                <wp:wrapTopAndBottom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2400" cy="0"/>
                        </a:xfrm>
                        <a:prstGeom prst="line">
                          <a:avLst/>
                        </a:prstGeom>
                        <a:noFill/>
                        <a:ln w="25400" cmpd="sng">
                          <a:solidFill>
                            <a:srgbClr val="009DD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F42758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pt" to="512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" strokecolor="#009ddb" strokeweight="2pt">
                <w10:wrap type="topAndBottom"/>
              </v:line>
            </w:pict>
          </mc:Fallback>
        </mc:AlternateContent>
      </w:r>
    </w:p>
    <w:p w14:paraId="4F489DC5" w14:textId="77777777" w:rsidR="005A5238" w:rsidRDefault="005A5238"/>
    <w:p w14:paraId="2FD96423" w14:textId="77777777" w:rsidR="005A5238" w:rsidRDefault="00C65A57">
      <w:pPr>
        <w:spacing w:before="120" w:line="300" w:lineRule="atLeast"/>
        <w:ind w:left="720"/>
      </w:pPr>
      <w:r>
        <w:rPr>
          <w:b/>
        </w:rPr>
        <w:t xml:space="preserve">(A)  </w:t>
      </w:r>
      <w:bookmarkStart w:id="2" w:name="Bookmark__a"/>
      <w:bookmarkEnd w:id="2"/>
      <w:r>
        <w:rPr>
          <w:color w:val="000000"/>
        </w:rPr>
        <w:t xml:space="preserve">If the court finds that a trade secret may be disclosed during a criminal proceeding, the </w:t>
      </w:r>
      <w:r>
        <w:rPr>
          <w:color w:val="000000"/>
        </w:rPr>
        <w:t>court must issue a protective order limiting the use and dissemination of the trade secret including, but not limited to, articles disclosing that secret, provided that the issuance of a protective order would not conceal fraud or work an injustice. The pr</w:t>
      </w:r>
      <w:r>
        <w:rPr>
          <w:color w:val="000000"/>
        </w:rPr>
        <w:t>otective order may, in the court’s discretion, include the following provisions:</w:t>
      </w:r>
    </w:p>
    <w:p w14:paraId="41E356D3" w14:textId="77777777" w:rsidR="005A5238" w:rsidRDefault="00C65A57">
      <w:pPr>
        <w:spacing w:before="120" w:line="300" w:lineRule="atLeast"/>
        <w:ind w:left="1080"/>
      </w:pPr>
      <w:r>
        <w:rPr>
          <w:b/>
        </w:rPr>
        <w:t xml:space="preserve">(1)  </w:t>
      </w:r>
      <w:bookmarkStart w:id="3" w:name="Bookmark__a_1"/>
      <w:bookmarkEnd w:id="3"/>
      <w:r>
        <w:rPr>
          <w:color w:val="000000"/>
        </w:rPr>
        <w:t>that the information produced pursuant to this section may be disclosed only to persons identified in the written protective order of the court and may be used or disclos</w:t>
      </w:r>
      <w:r>
        <w:rPr>
          <w:color w:val="000000"/>
        </w:rPr>
        <w:t>ed only in the action in which it is produced;</w:t>
      </w:r>
    </w:p>
    <w:p w14:paraId="4986BAC3" w14:textId="77777777" w:rsidR="005A5238" w:rsidRDefault="00C65A57">
      <w:pPr>
        <w:spacing w:before="120" w:line="300" w:lineRule="atLeast"/>
        <w:ind w:left="1080"/>
      </w:pPr>
      <w:r>
        <w:rPr>
          <w:b/>
        </w:rPr>
        <w:t xml:space="preserve">(2)  </w:t>
      </w:r>
      <w:bookmarkStart w:id="4" w:name="Bookmark__a_2"/>
      <w:bookmarkEnd w:id="4"/>
      <w:r>
        <w:rPr>
          <w:color w:val="000000"/>
        </w:rPr>
        <w:t>that the defendant may view the secret only in the presence of his counsel or at counsel’s office;</w:t>
      </w:r>
    </w:p>
    <w:p w14:paraId="50B7AA13" w14:textId="77777777" w:rsidR="005A5238" w:rsidRDefault="00C65A57">
      <w:pPr>
        <w:spacing w:before="120" w:line="300" w:lineRule="atLeast"/>
        <w:ind w:left="1080"/>
      </w:pPr>
      <w:r>
        <w:rPr>
          <w:b/>
        </w:rPr>
        <w:t xml:space="preserve">(3)  </w:t>
      </w:r>
      <w:bookmarkStart w:id="5" w:name="Bookmark__a_3"/>
      <w:bookmarkEnd w:id="5"/>
      <w:r>
        <w:rPr>
          <w:color w:val="000000"/>
        </w:rPr>
        <w:t xml:space="preserve">that a party seeking to show the trade secret, or articles containing the trade secret, to a person </w:t>
      </w:r>
      <w:r>
        <w:rPr>
          <w:color w:val="000000"/>
        </w:rPr>
        <w:t>not designated by the protective order must first obtain court approval to do so.</w:t>
      </w:r>
    </w:p>
    <w:p w14:paraId="31046F93" w14:textId="77777777" w:rsidR="005A5238" w:rsidRDefault="00C65A57">
      <w:pPr>
        <w:spacing w:before="120" w:line="300" w:lineRule="atLeast"/>
        <w:ind w:left="1440"/>
      </w:pPr>
      <w:r>
        <w:rPr>
          <w:b/>
        </w:rPr>
        <w:t xml:space="preserve">(a)  </w:t>
      </w:r>
      <w:bookmarkStart w:id="6" w:name="Bookmark__a_3_a"/>
      <w:bookmarkEnd w:id="6"/>
      <w:r>
        <w:rPr>
          <w:color w:val="000000"/>
        </w:rPr>
        <w:t>The court must require that the person receiving the trade secret do so only in the presence of counsel for the party requesting protection.</w:t>
      </w:r>
    </w:p>
    <w:p w14:paraId="1239179F" w14:textId="77777777" w:rsidR="005A5238" w:rsidRDefault="00C65A57">
      <w:pPr>
        <w:spacing w:before="120" w:line="300" w:lineRule="atLeast"/>
        <w:ind w:left="1440"/>
      </w:pPr>
      <w:r>
        <w:rPr>
          <w:b/>
        </w:rPr>
        <w:t xml:space="preserve">(b)  </w:t>
      </w:r>
      <w:bookmarkStart w:id="7" w:name="Bookmark__a_3_b"/>
      <w:bookmarkEnd w:id="7"/>
      <w:r>
        <w:rPr>
          <w:color w:val="000000"/>
        </w:rPr>
        <w:t xml:space="preserve">The court must require </w:t>
      </w:r>
      <w:r>
        <w:rPr>
          <w:color w:val="000000"/>
        </w:rPr>
        <w:t>the person receiving the trade secret to sign a copy of the protective order and a confidentiality agreement with the trade secret owner and to agree to be bound by its terms. The order may include a provision recognizing the owner of the trade secret to b</w:t>
      </w:r>
      <w:r>
        <w:rPr>
          <w:color w:val="000000"/>
        </w:rPr>
        <w:t>e a third-party beneficiary of that agreement.</w:t>
      </w:r>
    </w:p>
    <w:p w14:paraId="334BF199" w14:textId="77777777" w:rsidR="005A5238" w:rsidRDefault="00C65A57">
      <w:pPr>
        <w:spacing w:before="120" w:line="300" w:lineRule="atLeast"/>
        <w:ind w:left="1440"/>
      </w:pPr>
      <w:r>
        <w:rPr>
          <w:b/>
        </w:rPr>
        <w:t xml:space="preserve">(c)  </w:t>
      </w:r>
      <w:bookmarkStart w:id="8" w:name="Bookmark__a_3_c"/>
      <w:bookmarkEnd w:id="8"/>
      <w:r>
        <w:rPr>
          <w:color w:val="000000"/>
        </w:rPr>
        <w:t xml:space="preserve">The court shall require a party seeking disclosure to an expert to provide that expert’s name, employment history, and any other relevant information to the court for examination. The court must evaluate </w:t>
      </w:r>
      <w:r>
        <w:rPr>
          <w:color w:val="000000"/>
        </w:rPr>
        <w:t>the expert and determine whether the expert poses a significant risk of compromise.</w:t>
      </w:r>
    </w:p>
    <w:p w14:paraId="03805553" w14:textId="77777777" w:rsidR="005A5238" w:rsidRDefault="00C65A57">
      <w:pPr>
        <w:spacing w:before="120" w:line="300" w:lineRule="atLeast"/>
        <w:ind w:left="1080"/>
      </w:pPr>
      <w:r>
        <w:rPr>
          <w:b/>
        </w:rPr>
        <w:t xml:space="preserve">(4)  </w:t>
      </w:r>
      <w:bookmarkStart w:id="9" w:name="Bookmark__a_4"/>
      <w:bookmarkEnd w:id="9"/>
      <w:r>
        <w:rPr>
          <w:color w:val="000000"/>
        </w:rPr>
        <w:t xml:space="preserve">that no articles disclosing the trade secret may be filed or otherwise made a part of the court record available to the public without approval of the court and prior </w:t>
      </w:r>
      <w:r>
        <w:rPr>
          <w:color w:val="000000"/>
        </w:rPr>
        <w:t>notice to the owner of the secret. The owner of the secret may give permission to accept the notice on the owner’s behalf;</w:t>
      </w:r>
    </w:p>
    <w:p w14:paraId="6D56035A" w14:textId="77777777" w:rsidR="005A5238" w:rsidRDefault="00C65A57">
      <w:pPr>
        <w:spacing w:before="120" w:line="300" w:lineRule="atLeast"/>
        <w:ind w:left="1080"/>
      </w:pPr>
      <w:r>
        <w:rPr>
          <w:b/>
        </w:rPr>
        <w:t xml:space="preserve">(5)  </w:t>
      </w:r>
      <w:bookmarkStart w:id="10" w:name="Bookmark__a_5"/>
      <w:bookmarkEnd w:id="10"/>
      <w:r>
        <w:rPr>
          <w:color w:val="000000"/>
        </w:rPr>
        <w:t>other orders as the court considers necessary to protect the integrity of the trade secret.</w:t>
      </w:r>
    </w:p>
    <w:p w14:paraId="17CB885D" w14:textId="77777777" w:rsidR="005A5238" w:rsidRDefault="00C65A57">
      <w:pPr>
        <w:spacing w:before="120" w:line="300" w:lineRule="atLeast"/>
        <w:ind w:left="720"/>
      </w:pPr>
      <w:r>
        <w:rPr>
          <w:b/>
        </w:rPr>
        <w:lastRenderedPageBreak/>
        <w:t xml:space="preserve">(B)  </w:t>
      </w:r>
      <w:bookmarkStart w:id="11" w:name="Bookmark__b"/>
      <w:bookmarkEnd w:id="11"/>
      <w:r>
        <w:rPr>
          <w:color w:val="000000"/>
        </w:rPr>
        <w:t xml:space="preserve">During proceedings where trade </w:t>
      </w:r>
      <w:r>
        <w:rPr>
          <w:color w:val="000000"/>
        </w:rPr>
        <w:t>secrets may be disclosed, the court may, in its discretion, take other appropriate measures to protect against disclosure of trade secrets.</w:t>
      </w:r>
    </w:p>
    <w:p w14:paraId="763B0437" w14:textId="77777777" w:rsidR="005A5238" w:rsidRDefault="00C65A57">
      <w:pPr>
        <w:keepNext/>
        <w:spacing w:before="240" w:line="340" w:lineRule="atLeast"/>
      </w:pPr>
      <w:bookmarkStart w:id="12" w:name="History"/>
      <w:bookmarkEnd w:id="12"/>
      <w:r>
        <w:rPr>
          <w:b/>
          <w:color w:val="000000"/>
          <w:sz w:val="28"/>
        </w:rPr>
        <w:t>History</w:t>
      </w:r>
    </w:p>
    <w:p w14:paraId="511DA72B" w14:textId="37F96F2A" w:rsidR="005A5238" w:rsidRDefault="00C65A57">
      <w:pPr>
        <w:spacing w:line="6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7BE4E2" wp14:editId="0E35909C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6502400" cy="0"/>
                <wp:effectExtent l="15875" t="19050" r="15875" b="1905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2400" cy="0"/>
                        </a:xfrm>
                        <a:prstGeom prst="line">
                          <a:avLst/>
                        </a:prstGeom>
                        <a:noFill/>
                        <a:ln w="25400" cmpd="sng">
                          <a:solidFill>
                            <a:srgbClr val="009DD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DE0E21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pt" to="512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" strokecolor="#009ddb" strokeweight="2pt">
                <w10:wrap type="topAndBottom"/>
              </v:line>
            </w:pict>
          </mc:Fallback>
        </mc:AlternateContent>
      </w:r>
    </w:p>
    <w:p w14:paraId="79A2F9C1" w14:textId="77777777" w:rsidR="005A5238" w:rsidRDefault="005A5238"/>
    <w:p w14:paraId="7C5458D8" w14:textId="77777777" w:rsidR="005A5238" w:rsidRDefault="00C65A57">
      <w:pPr>
        <w:spacing w:before="120" w:line="300" w:lineRule="atLeast"/>
      </w:pPr>
      <w:r>
        <w:rPr>
          <w:color w:val="000000"/>
        </w:rPr>
        <w:t>1997 Act No. 38, § 1, eff May 21, 1997.</w:t>
      </w:r>
    </w:p>
    <w:p w14:paraId="4AE160DC" w14:textId="77777777" w:rsidR="005A5238" w:rsidRDefault="00C65A57">
      <w:pPr>
        <w:spacing w:before="120" w:line="260" w:lineRule="atLeast"/>
      </w:pPr>
      <w:r>
        <w:br/>
      </w:r>
      <w:r>
        <w:rPr>
          <w:color w:val="000000"/>
          <w:sz w:val="20"/>
        </w:rPr>
        <w:t xml:space="preserve">South Carolina Code of Laws Annotated by LexisNexis® </w:t>
      </w:r>
    </w:p>
    <w:p w14:paraId="434DC4A5" w14:textId="77777777" w:rsidR="005A5238" w:rsidRDefault="00C65A57">
      <w:pPr>
        <w:spacing w:line="260" w:lineRule="atLeast"/>
      </w:pPr>
      <w:r>
        <w:rPr>
          <w:color w:val="000000"/>
          <w:sz w:val="20"/>
        </w:rPr>
        <w:t xml:space="preserve">Copyright </w:t>
      </w:r>
      <w:r>
        <w:rPr>
          <w:color w:val="000000"/>
          <w:sz w:val="20"/>
        </w:rPr>
        <w:t>© 2024 All rights reserved.</w:t>
      </w:r>
    </w:p>
    <w:p w14:paraId="197DB6ED" w14:textId="77777777" w:rsidR="005A5238" w:rsidRDefault="005A5238"/>
    <w:p w14:paraId="06DF526E" w14:textId="346A0B2B" w:rsidR="005A5238" w:rsidRDefault="00C65A57">
      <w:pPr>
        <w:ind w:left="200"/>
      </w:pP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0896F4" wp14:editId="0CE47BB2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6502400" cy="0"/>
                <wp:effectExtent l="6350" t="14605" r="6350" b="1397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2400" cy="0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D3E4D5"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pt" to="512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" strokeweight="1pt"/>
            </w:pict>
          </mc:Fallback>
        </mc:AlternateContent>
      </w:r>
      <w:r>
        <w:rPr>
          <w:b/>
          <w:color w:val="767676"/>
          <w:sz w:val="16"/>
        </w:rPr>
        <w:t>End of Document</w:t>
      </w:r>
    </w:p>
    <w:sectPr w:rsidR="005A5238">
      <w:type w:val="continuous"/>
      <w:pgSz w:w="12240" w:h="15840"/>
      <w:pgMar w:top="840" w:right="1000" w:bottom="840" w:left="1000" w:header="400" w:footer="4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7BD97C" w14:textId="77777777" w:rsidR="00000000" w:rsidRDefault="00C65A57">
      <w:r>
        <w:separator/>
      </w:r>
    </w:p>
  </w:endnote>
  <w:endnote w:type="continuationSeparator" w:id="0">
    <w:p w14:paraId="719F1345" w14:textId="77777777" w:rsidR="00000000" w:rsidRDefault="00C65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A0" w:firstRow="1" w:lastRow="0" w:firstColumn="1" w:lastColumn="0" w:noHBand="0" w:noVBand="1"/>
    </w:tblPr>
    <w:tblGrid>
      <w:gridCol w:w="2600"/>
      <w:gridCol w:w="4880"/>
      <w:gridCol w:w="2600"/>
    </w:tblGrid>
    <w:tr w:rsidR="005A5238" w14:paraId="0C4406BE" w14:textId="77777777"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 w14:paraId="3435A02E" w14:textId="77777777" w:rsidR="005A5238" w:rsidRDefault="005A5238"/>
      </w:tc>
      <w:tc>
        <w:tcPr>
          <w:tcW w:w="4880" w:type="dxa"/>
          <w:tcMar>
            <w:top w:w="200" w:type="dxa"/>
          </w:tcMar>
          <w:vAlign w:val="center"/>
        </w:tcPr>
        <w:p w14:paraId="084EC467" w14:textId="77777777" w:rsidR="005A5238" w:rsidRDefault="005A5238"/>
      </w:tc>
      <w:tc>
        <w:tcPr>
          <w:tcW w:w="2600" w:type="dxa"/>
          <w:tcMar>
            <w:top w:w="200" w:type="dxa"/>
          </w:tcMar>
          <w:vAlign w:val="center"/>
        </w:tcPr>
        <w:p w14:paraId="50D16607" w14:textId="77777777" w:rsidR="005A5238" w:rsidRDefault="005A5238"/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1D1F08" w14:textId="77777777" w:rsidR="005A5238" w:rsidRDefault="00C65A57"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192806" w14:textId="77777777" w:rsidR="00000000" w:rsidRDefault="00C65A57">
      <w:r>
        <w:separator/>
      </w:r>
    </w:p>
  </w:footnote>
  <w:footnote w:type="continuationSeparator" w:id="0">
    <w:p w14:paraId="599830B1" w14:textId="77777777" w:rsidR="00000000" w:rsidRDefault="00C65A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A0" w:firstRow="1" w:lastRow="0" w:firstColumn="1" w:lastColumn="0" w:noHBand="0" w:noVBand="1"/>
    </w:tblPr>
    <w:tblGrid>
      <w:gridCol w:w="10080"/>
    </w:tblGrid>
    <w:tr w:rsidR="005A5238" w14:paraId="0A2A31C5" w14:textId="77777777">
      <w:trPr>
        <w:jc w:val="center"/>
      </w:trPr>
      <w:tc>
        <w:tcPr>
          <w:tcW w:w="10080" w:type="dxa"/>
          <w:vAlign w:val="center"/>
        </w:tcPr>
        <w:p w14:paraId="3A8E8FAA" w14:textId="77777777" w:rsidR="005A5238" w:rsidRDefault="00C65A57">
          <w:pPr>
            <w:jc w:val="right"/>
          </w:pPr>
          <w:r>
            <w:rPr>
              <w:sz w:val="20"/>
            </w:rPr>
            <w:t xml:space="preserve">Page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of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</w:p>
      </w:tc>
    </w:tr>
    <w:tr w:rsidR="005A5238" w14:paraId="6FD4F265" w14:textId="77777777">
      <w:trPr>
        <w:jc w:val="center"/>
      </w:trPr>
      <w:tc>
        <w:tcPr>
          <w:tcW w:w="10080" w:type="dxa"/>
        </w:tcPr>
        <w:p w14:paraId="0FC41136" w14:textId="77777777" w:rsidR="005A5238" w:rsidRDefault="00C65A57">
          <w:pPr>
            <w:spacing w:before="60" w:after="200"/>
            <w:jc w:val="center"/>
          </w:pPr>
          <w:r>
            <w:rPr>
              <w:sz w:val="20"/>
            </w:rPr>
            <w:t>§ 39-8-100. Criminal proceedings; finding of disclosure of trade secrets; issuance of protective order.</w: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5A5238"/>
    <w:rsid w:val="00A77B3E"/>
    <w:rsid w:val="00C65A57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5D11D58C"/>
  <w15:docId w15:val="{25703D08-86B7-42CC-ADF8-AAC752F76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1FD80AA6EE7048A1D38BB6CEE4FAE5" ma:contentTypeVersion="17" ma:contentTypeDescription="Create a new document." ma:contentTypeScope="" ma:versionID="e1f4454beee73c25776be75d8ba1dbfd">
  <xsd:schema xmlns:xsd="http://www.w3.org/2001/XMLSchema" xmlns:xs="http://www.w3.org/2001/XMLSchema" xmlns:p="http://schemas.microsoft.com/office/2006/metadata/properties" xmlns:ns3="55d6ef15-79d8-436f-a155-0c3446167541" xmlns:ns4="4e6a8aeb-c29e-4a8a-85db-b95bdfea3467" targetNamespace="http://schemas.microsoft.com/office/2006/metadata/properties" ma:root="true" ma:fieldsID="6651c3938b893f32ab9b9cc8f19019f3" ns3:_="" ns4:_="">
    <xsd:import namespace="55d6ef15-79d8-436f-a155-0c3446167541"/>
    <xsd:import namespace="4e6a8aeb-c29e-4a8a-85db-b95bdfea346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_activity" minOccurs="0"/>
                <xsd:element ref="ns4:MediaServiceObjectDetectorVersions" minOccurs="0"/>
                <xsd:element ref="ns4:MediaServiceSearchPropertie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d6ef15-79d8-436f-a155-0c344616754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6a8aeb-c29e-4a8a-85db-b95bdfea34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e6a8aeb-c29e-4a8a-85db-b95bdfea3467" xsi:nil="true"/>
  </documentManagement>
</p:properties>
</file>

<file path=customXml/itemProps1.xml><?xml version="1.0" encoding="utf-8"?>
<ds:datastoreItem xmlns:ds="http://schemas.openxmlformats.org/officeDocument/2006/customXml" ds:itemID="{040229E5-2EC2-42A7-9012-154D26E281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d6ef15-79d8-436f-a155-0c3446167541"/>
    <ds:schemaRef ds:uri="4e6a8aeb-c29e-4a8a-85db-b95bdfea34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639ADB-F392-4DD3-9521-36590A5E15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8FA23C-2C4A-4129-9534-3319412DA739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4e6a8aeb-c29e-4a8a-85db-b95bdfea3467"/>
    <ds:schemaRef ds:uri="http://purl.org/dc/terms/"/>
    <ds:schemaRef ds:uri="http://schemas.openxmlformats.org/package/2006/metadata/core-properties"/>
    <ds:schemaRef ds:uri="55d6ef15-79d8-436f-a155-0c3446167541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428</Words>
  <Characters>2446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§ 39-8-100. Criminal proceedings; finding of disclosure of trade secrets; issuance of protective order.</vt:lpstr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39-8-100. Criminal proceedings; finding of disclosure of trade secrets; issuance of protective order.</dc:title>
  <dc:creator>Trayce Hockstad</dc:creator>
  <cp:lastModifiedBy>Trayce Hockstad</cp:lastModifiedBy>
  <cp:revision>2</cp:revision>
  <dcterms:created xsi:type="dcterms:W3CDTF">2024-06-03T19:20:00Z</dcterms:created>
  <dcterms:modified xsi:type="dcterms:W3CDTF">2024-06-03T19:20:00Z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225725023</vt:lpwstr>
  </property>
  <property fmtid="{D5CDD505-2E9C-101B-9397-08002B2CF9AE}" pid="3" name="LADocCount">
    <vt:lpwstr>1</vt:lpwstr>
  </property>
  <property fmtid="{D5CDD505-2E9C-101B-9397-08002B2CF9AE}" pid="4" name="LADocumentID:urn:contentItem:5K1J-NM41-DYB7-S0B2-00000-00">
    <vt:lpwstr>Doc::/shared/document|contextualFeaturePermID::1519360</vt:lpwstr>
  </property>
  <property fmtid="{D5CDD505-2E9C-101B-9397-08002B2CF9AE}" pid="5" name="UserPermID">
    <vt:lpwstr>urn:user:PA186163333</vt:lpwstr>
  </property>
  <property fmtid="{D5CDD505-2E9C-101B-9397-08002B2CF9AE}" pid="6" name="ContentTypeId">
    <vt:lpwstr>0x010100B91FD80AA6EE7048A1D38BB6CEE4FAE5</vt:lpwstr>
  </property>
</Properties>
</file>