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39-8-20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Trade and Commerce (Chs. 1 — 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Trade Secrets (§§ 39-8-1 — 39-8-130)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39-8-20.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 theft, bribery, misrepresentation, breach or inducement of a breach of a duty to maintain secrecy, duties imposed by the common law, statute, contract, license, protective order, or other court or administrative order,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by improper means;</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6" w:name="Bookmark__2_c_i"/>
      <w:bookmarkEnd w:id="6"/>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(ii)  </w:t>
      </w:r>
      <w:bookmarkStart w:id="7" w:name="Bookmark__2_c_ii"/>
      <w:bookmarkEnd w:id="7"/>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  </w:t>
      </w:r>
      <w:bookmarkStart w:id="8" w:name="Bookmark__2_c_ii_a"/>
      <w:bookmarkEnd w:id="8"/>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9" w:name="Bookmark__2_c_ii_b"/>
      <w:bookmarkEnd w:id="9"/>
      <w:r>
        <w:rPr>
          <w:rFonts w:ascii="times" w:eastAsia="times" w:hAnsi="times" w:cs="times"/>
          <w:b w:val="0"/>
          <w:i w:val="0"/>
          <w:strike w:val="0"/>
          <w:noProof w:val="0"/>
          <w:color w:val="000000"/>
          <w:position w:val="0"/>
          <w:sz w:val="24"/>
          <w:u w:val="none"/>
          <w:vertAlign w:val="baseline"/>
        </w:rPr>
        <w:t>acquired by mistake or under circumstances giving rise to a duty to maintain its secrecy or limit its use; or</w:t>
      </w:r>
    </w:p>
    <w:p>
      <w:pPr>
        <w:keepNext w:val="0"/>
        <w:spacing w:before="120" w:after="0" w:line="300" w:lineRule="atLeast"/>
        <w:ind w:left="2160" w:right="0"/>
        <w:jc w:val="left"/>
      </w:pPr>
      <w:r>
        <w:rPr>
          <w:b/>
        </w:rPr>
        <w:t xml:space="preserve">(C)  </w:t>
      </w:r>
      <w:bookmarkStart w:id="10" w:name="Bookmark__2_c_ii_c"/>
      <w:bookmarkEnd w:id="10"/>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1" w:name="Bookmark__2_c_iii"/>
      <w:bookmarkEnd w:id="11"/>
      <w:r>
        <w:rPr>
          <w:rFonts w:ascii="times" w:eastAsia="times" w:hAnsi="times" w:cs="times"/>
          <w:b w:val="0"/>
          <w:i w:val="0"/>
          <w:strike w:val="0"/>
          <w:noProof w:val="0"/>
          <w:color w:val="000000"/>
          <w:position w:val="0"/>
          <w:sz w:val="24"/>
          <w:u w:val="none"/>
          <w:vertAlign w:val="baseline"/>
        </w:rPr>
        <w:t>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2" w:name="Bookmark__3"/>
      <w:bookmarkEnd w:id="12"/>
      <w:r>
        <w:rPr>
          <w:rFonts w:ascii="times" w:eastAsia="times" w:hAnsi="times" w:cs="times"/>
          <w:b w:val="0"/>
          <w:i w:val="0"/>
          <w:strike w:val="0"/>
          <w:noProof w:val="0"/>
          <w:color w:val="000000"/>
          <w:position w:val="0"/>
          <w:sz w:val="24"/>
          <w:u w:val="none"/>
          <w:vertAlign w:val="baseline"/>
        </w:rPr>
        <w:t>“Owner” means the person or entity in whom or in which rightful legal or equitable title to the trade secret is reposed.</w:t>
      </w:r>
    </w:p>
    <w:p>
      <w:pPr>
        <w:keepNext w:val="0"/>
        <w:spacing w:before="120" w:after="0" w:line="300" w:lineRule="atLeast"/>
        <w:ind w:left="1080" w:right="0"/>
        <w:jc w:val="left"/>
      </w:pPr>
      <w:r>
        <w:rPr>
          <w:b/>
        </w:rPr>
        <w:t xml:space="preserve">(4)  </w:t>
      </w:r>
      <w:bookmarkStart w:id="13" w:name="Bookmark__4"/>
      <w:bookmarkEnd w:id="13"/>
      <w:r>
        <w:rPr>
          <w:rFonts w:ascii="times" w:eastAsia="times" w:hAnsi="times" w:cs="times"/>
          <w:b w:val="0"/>
          <w:i w:val="0"/>
          <w:strike w:val="0"/>
          <w:noProof w:val="0"/>
          <w:color w:val="000000"/>
          <w:position w:val="0"/>
          <w:sz w:val="24"/>
          <w:u w:val="none"/>
          <w:vertAlign w:val="baseline"/>
        </w:rPr>
        <w:t>“Person” means an individual,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“Trade secret” means:</w:t>
      </w:r>
    </w:p>
    <w:p>
      <w:pPr>
        <w:keepNext w:val="0"/>
        <w:spacing w:before="120" w:after="0" w:line="300" w:lineRule="atLeast"/>
        <w:ind w:left="1440" w:right="0"/>
        <w:jc w:val="left"/>
      </w:pPr>
      <w:r>
        <w:rPr>
          <w:b/>
        </w:rPr>
        <w:t xml:space="preserve">(a)  </w:t>
      </w:r>
      <w:bookmarkStart w:id="15" w:name="Bookmark__5_a"/>
      <w:bookmarkEnd w:id="15"/>
      <w:r>
        <w:rPr>
          <w:rFonts w:ascii="times" w:eastAsia="times" w:hAnsi="times" w:cs="times"/>
          <w:b w:val="0"/>
          <w:i w:val="0"/>
          <w:strike w:val="0"/>
          <w:noProof w:val="0"/>
          <w:color w:val="000000"/>
          <w:position w:val="0"/>
          <w:sz w:val="24"/>
          <w:u w:val="none"/>
          <w:vertAlign w:val="baseline"/>
        </w:rPr>
        <w:t>information including, but not limited to, a formula, pattern, compilation, program, device, method, technique, product, system, or process, design, prototype, procedure, or code that:</w:t>
      </w:r>
    </w:p>
    <w:p>
      <w:pPr>
        <w:keepNext w:val="0"/>
        <w:spacing w:before="120" w:after="0" w:line="300" w:lineRule="atLeast"/>
        <w:ind w:left="1800" w:right="0"/>
        <w:jc w:val="left"/>
      </w:pPr>
      <w:r>
        <w:rPr>
          <w:b/>
        </w:rPr>
        <w:t xml:space="preserve">(i)  </w:t>
      </w:r>
      <w:bookmarkStart w:id="16" w:name="Bookmark__5_a_i"/>
      <w:bookmarkEnd w:id="16"/>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the public or any other person who can obtain economic value from its disclosure or use, and</w:t>
      </w:r>
    </w:p>
    <w:p>
      <w:pPr>
        <w:keepNext w:val="0"/>
        <w:spacing w:before="120" w:after="0" w:line="300" w:lineRule="atLeast"/>
        <w:ind w:left="1800" w:right="0"/>
        <w:jc w:val="left"/>
      </w:pPr>
      <w:r>
        <w:rPr>
          <w:b/>
        </w:rPr>
        <w:t xml:space="preserve">(ii)  </w:t>
      </w:r>
      <w:bookmarkStart w:id="17" w:name="Bookmark__5_a_ii"/>
      <w:bookmarkEnd w:id="17"/>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val="0"/>
        <w:spacing w:before="120" w:after="0" w:line="300" w:lineRule="atLeast"/>
        <w:ind w:left="1440" w:right="0"/>
        <w:jc w:val="left"/>
      </w:pPr>
      <w:r>
        <w:rPr>
          <w:b/>
        </w:rPr>
        <w:t xml:space="preserve">(b)  </w:t>
      </w:r>
      <w:bookmarkStart w:id="18" w:name="Bookmark__5_b"/>
      <w:bookmarkEnd w:id="18"/>
      <w:r>
        <w:rPr>
          <w:rFonts w:ascii="times" w:eastAsia="times" w:hAnsi="times" w:cs="times"/>
          <w:b w:val="0"/>
          <w:i w:val="0"/>
          <w:strike w:val="0"/>
          <w:noProof w:val="0"/>
          <w:color w:val="000000"/>
          <w:position w:val="0"/>
          <w:sz w:val="24"/>
          <w:u w:val="none"/>
          <w:vertAlign w:val="baseline"/>
        </w:rPr>
        <w:t>A trade secret may consist of a simple fact, item, or procedure, or a series or sequence of items or procedures which, although individually could be perceived as relatively minor or simple, collectively can make a substantial difference in the efficiency of a process or the production of a product, or may be the basis of a marketing or commercial strategy. The collective effect of the items and procedures must be considered in any analysis of whether a trade secret exists and not the general knowledge of each individual item or procedure.</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1997 Act No. 38, § 1, eff May 21, 1997.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39-8-20.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39-8-20.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225725023</vt:lpwstr>
  </property>
  <property fmtid="{D5CDD505-2E9C-101B-9397-08002B2CF9AE}" pid="3" name="LADocCount">
    <vt:lpwstr>1</vt:lpwstr>
  </property>
  <property fmtid="{D5CDD505-2E9C-101B-9397-08002B2CF9AE}" pid="4" name="LADocumentID:urn:contentItem:5K1J-NM41-DYB7-S09S-00000-00">
    <vt:lpwstr>Doc::/shared/document|contextualFeaturePermID::1519360</vt:lpwstr>
  </property>
  <property fmtid="{D5CDD505-2E9C-101B-9397-08002B2CF9AE}" pid="5" name="UserPermID">
    <vt:lpwstr>urn:user:PA186163333</vt:lpwstr>
  </property>
</Properties>
</file>