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90037" w14:textId="77777777" w:rsidR="00E72EA8" w:rsidRDefault="00E72EA8">
      <w:pPr>
        <w:sectPr w:rsidR="00E72EA8">
          <w:headerReference w:type="default" r:id="rId9"/>
          <w:footerReference w:type="default" r:id="rId10"/>
          <w:footerReference w:type="first" r:id="rId11"/>
          <w:pgSz w:w="12240" w:h="15840"/>
          <w:pgMar w:top="840" w:right="1000" w:bottom="840" w:left="1000" w:header="400" w:footer="400" w:gutter="0"/>
          <w:cols w:space="720"/>
          <w:titlePg/>
        </w:sectPr>
      </w:pPr>
      <w:bookmarkStart w:id="0" w:name="_GoBack"/>
      <w:bookmarkEnd w:id="0"/>
    </w:p>
    <w:p w14:paraId="6F1A1066" w14:textId="77777777" w:rsidR="00E72EA8" w:rsidRDefault="00E72EA8"/>
    <w:p w14:paraId="55F411C3" w14:textId="77777777" w:rsidR="00E72EA8" w:rsidRDefault="00EA467B">
      <w:pPr>
        <w:pStyle w:val="Heading1"/>
        <w:keepNext w:val="0"/>
        <w:spacing w:after="200" w:line="340" w:lineRule="atLeast"/>
        <w:jc w:val="center"/>
      </w:pPr>
      <w:r>
        <w:rPr>
          <w:rFonts w:ascii="Times" w:hAnsi="Times" w:cs="Times"/>
          <w:color w:val="000000"/>
          <w:sz w:val="28"/>
        </w:rPr>
        <w:t xml:space="preserve">S.C. Code </w:t>
      </w:r>
      <w:r>
        <w:rPr>
          <w:rFonts w:ascii="Times" w:hAnsi="Times" w:cs="Times"/>
          <w:color w:val="000000"/>
          <w:sz w:val="28"/>
        </w:rPr>
        <w:t>Ann. § 39-8-30</w:t>
      </w:r>
    </w:p>
    <w:p w14:paraId="0F5A57A9" w14:textId="77777777" w:rsidR="00E72EA8" w:rsidRDefault="00EA467B">
      <w:pPr>
        <w:spacing w:before="120" w:line="300" w:lineRule="atLeast"/>
        <w:jc w:val="center"/>
      </w:pPr>
      <w:r>
        <w:rPr>
          <w:color w:val="000000"/>
        </w:rPr>
        <w:t xml:space="preserve"> This document is current through 2024 Regular Session Act No. 120, not including changes and corrections made by the Code Commissioner. </w:t>
      </w:r>
    </w:p>
    <w:p w14:paraId="17E19E80" w14:textId="77777777" w:rsidR="00E72EA8" w:rsidRDefault="00E72EA8">
      <w:pPr>
        <w:spacing w:line="240" w:lineRule="atLeast"/>
        <w:jc w:val="both"/>
      </w:pPr>
      <w:bookmarkStart w:id="1" w:name="Bookmark_5"/>
      <w:bookmarkEnd w:id="1"/>
    </w:p>
    <w:p w14:paraId="458A5F81" w14:textId="77777777" w:rsidR="00E72EA8" w:rsidRDefault="00EA467B">
      <w:pPr>
        <w:spacing w:before="200" w:line="280" w:lineRule="atLeast"/>
      </w:pPr>
      <w:r>
        <w:rPr>
          <w:b/>
          <w:i/>
          <w:color w:val="000000"/>
          <w:sz w:val="22"/>
        </w:rPr>
        <w:t xml:space="preserve">South Carolina Code of Laws Annotated by LexisNexis® 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Title 39. Trade and Commerce (Chs. 1 — 79)</w:t>
      </w:r>
      <w:r>
        <w:rPr>
          <w:b/>
          <w:color w:val="000000"/>
          <w:sz w:val="22"/>
        </w:rPr>
        <w:t xml:space="preserve">  </w:t>
      </w:r>
      <w:r>
        <w:rPr>
          <w:b/>
          <w:color w:val="000000"/>
          <w:sz w:val="22"/>
        </w:rPr>
        <w:t xml:space="preserve">&gt;  </w:t>
      </w:r>
      <w:r>
        <w:rPr>
          <w:b/>
          <w:i/>
          <w:color w:val="000000"/>
          <w:sz w:val="22"/>
        </w:rPr>
        <w:t>Chapter 8. Trade Secrets (§§ 39-8-1 — 39-8-130)</w:t>
      </w:r>
    </w:p>
    <w:p w14:paraId="687EAAE2" w14:textId="77777777" w:rsidR="00E72EA8" w:rsidRDefault="00EA467B">
      <w:pPr>
        <w:keepNext/>
        <w:spacing w:before="240" w:line="340" w:lineRule="atLeast"/>
      </w:pPr>
      <w:r>
        <w:br/>
      </w:r>
      <w:r>
        <w:rPr>
          <w:b/>
          <w:color w:val="000000"/>
          <w:sz w:val="28"/>
        </w:rPr>
        <w:t>§ 39-8-30. Trade secrets; employees’ obligation to refrain from disclosing; civil actions and remedies.</w:t>
      </w:r>
    </w:p>
    <w:p w14:paraId="5E6E83D4" w14:textId="1A9E41C2" w:rsidR="00E72EA8" w:rsidRDefault="00EA467B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54B523" wp14:editId="4566FA54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4605" r="15875" b="1397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3C8CB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" strokecolor="#009ddb" strokeweight="2pt">
                <w10:wrap type="topAndBottom"/>
              </v:line>
            </w:pict>
          </mc:Fallback>
        </mc:AlternateContent>
      </w:r>
    </w:p>
    <w:p w14:paraId="50C45327" w14:textId="77777777" w:rsidR="00E72EA8" w:rsidRDefault="00E72EA8"/>
    <w:p w14:paraId="16B6D1AB" w14:textId="77777777" w:rsidR="00E72EA8" w:rsidRDefault="00EA467B">
      <w:pPr>
        <w:spacing w:before="120" w:line="300" w:lineRule="atLeast"/>
        <w:ind w:left="720"/>
      </w:pPr>
      <w:r>
        <w:rPr>
          <w:b/>
        </w:rPr>
        <w:t xml:space="preserve">(A)  </w:t>
      </w:r>
      <w:bookmarkStart w:id="2" w:name="Bookmark__a"/>
      <w:bookmarkEnd w:id="2"/>
      <w:r>
        <w:rPr>
          <w:color w:val="000000"/>
        </w:rPr>
        <w:t xml:space="preserve">A trade secret endures and is protectable and enforceable until it is disclosed or </w:t>
      </w:r>
      <w:r>
        <w:rPr>
          <w:color w:val="000000"/>
        </w:rPr>
        <w:t>discovered by proper means.</w:t>
      </w:r>
    </w:p>
    <w:p w14:paraId="7E964012" w14:textId="77777777" w:rsidR="00E72EA8" w:rsidRDefault="00EA467B">
      <w:pPr>
        <w:spacing w:before="120" w:line="300" w:lineRule="atLeast"/>
        <w:ind w:left="720"/>
      </w:pPr>
      <w:r>
        <w:rPr>
          <w:b/>
        </w:rPr>
        <w:t xml:space="preserve">(B)  </w:t>
      </w:r>
      <w:bookmarkStart w:id="3" w:name="Bookmark__b"/>
      <w:bookmarkEnd w:id="3"/>
      <w:r>
        <w:rPr>
          <w:color w:val="000000"/>
        </w:rPr>
        <w:t>Every employee who is informed of or should reasonably have known from the circumstances of the existence of any employer’s trade secret has a duty to refrain from using or disclosing the trade secret without the employer’s</w:t>
      </w:r>
      <w:r>
        <w:rPr>
          <w:color w:val="000000"/>
        </w:rPr>
        <w:t xml:space="preserve"> permission independently of and in addition to any written contract of employment, secrecy agreement, noncompete agreement, nondisclosure agreement, or other agreement between the employer and the employee.</w:t>
      </w:r>
    </w:p>
    <w:p w14:paraId="6524E028" w14:textId="77777777" w:rsidR="00E72EA8" w:rsidRDefault="00EA467B">
      <w:pPr>
        <w:spacing w:before="120" w:line="300" w:lineRule="atLeast"/>
        <w:ind w:left="720"/>
      </w:pPr>
      <w:r>
        <w:rPr>
          <w:b/>
        </w:rPr>
        <w:t xml:space="preserve">(C)  </w:t>
      </w:r>
      <w:bookmarkStart w:id="4" w:name="Bookmark__c"/>
      <w:bookmarkEnd w:id="4"/>
      <w:r>
        <w:rPr>
          <w:color w:val="000000"/>
        </w:rPr>
        <w:t>A person aggrieved by a misappropriation, w</w:t>
      </w:r>
      <w:r>
        <w:rPr>
          <w:color w:val="000000"/>
        </w:rPr>
        <w:t>rongful disclosure, or wrongful use of his trade secrets may bring a civil action to recover damages incurred as a result of the wrongful acts and to enjoin its appropriation, disclosure, use, or wrongful acts pertaining to the trade secrets.</w:t>
      </w:r>
    </w:p>
    <w:p w14:paraId="52B854D8" w14:textId="77777777" w:rsidR="00E72EA8" w:rsidRDefault="00EA467B">
      <w:pPr>
        <w:spacing w:before="120" w:line="300" w:lineRule="atLeast"/>
        <w:ind w:left="720"/>
      </w:pPr>
      <w:r>
        <w:rPr>
          <w:b/>
        </w:rPr>
        <w:t xml:space="preserve">(D)  </w:t>
      </w:r>
      <w:bookmarkStart w:id="5" w:name="Bookmark__d"/>
      <w:bookmarkEnd w:id="5"/>
      <w:r>
        <w:rPr>
          <w:color w:val="000000"/>
        </w:rPr>
        <w:t>A contra</w:t>
      </w:r>
      <w:r>
        <w:rPr>
          <w:color w:val="000000"/>
        </w:rPr>
        <w:t>ctual duty not to disclose or divulge a trade secret, to maintain the secrecy of a trade secret, or to limit the use of a trade secret must not be considered void or unenforceable or against public policy for lack of a durational or geographical limitation</w:t>
      </w:r>
      <w:r>
        <w:rPr>
          <w:color w:val="000000"/>
        </w:rPr>
        <w:t>.</w:t>
      </w:r>
    </w:p>
    <w:p w14:paraId="049BB50B" w14:textId="77777777" w:rsidR="00E72EA8" w:rsidRDefault="00EA467B">
      <w:pPr>
        <w:spacing w:before="120" w:line="300" w:lineRule="atLeast"/>
        <w:ind w:left="720"/>
      </w:pPr>
      <w:r>
        <w:rPr>
          <w:b/>
        </w:rPr>
        <w:t xml:space="preserve">(E)  </w:t>
      </w:r>
      <w:bookmarkStart w:id="6" w:name="Bookmark__e"/>
      <w:bookmarkEnd w:id="6"/>
      <w:r>
        <w:rPr>
          <w:color w:val="000000"/>
        </w:rPr>
        <w:t>This chapter applies to any and all civil remedies which are based upon misappropriation of a trade secret or upon protection of a trade secret except as provided in Section 39-8-110(B) and (C).</w:t>
      </w:r>
    </w:p>
    <w:p w14:paraId="647D20EA" w14:textId="77777777" w:rsidR="00E72EA8" w:rsidRDefault="00EA467B">
      <w:pPr>
        <w:keepNext/>
        <w:spacing w:before="240" w:line="340" w:lineRule="atLeast"/>
      </w:pPr>
      <w:bookmarkStart w:id="7" w:name="History"/>
      <w:bookmarkEnd w:id="7"/>
      <w:r>
        <w:rPr>
          <w:b/>
          <w:color w:val="000000"/>
          <w:sz w:val="28"/>
        </w:rPr>
        <w:t>History</w:t>
      </w:r>
    </w:p>
    <w:p w14:paraId="2F649A82" w14:textId="299D7063" w:rsidR="00E72EA8" w:rsidRDefault="00EA467B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5CAA6" wp14:editId="0B5DD412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5240" r="15875" b="1333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300E2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" strokecolor="#009ddb" strokeweight="2pt">
                <w10:wrap type="topAndBottom"/>
              </v:line>
            </w:pict>
          </mc:Fallback>
        </mc:AlternateContent>
      </w:r>
    </w:p>
    <w:p w14:paraId="41883D7A" w14:textId="77777777" w:rsidR="00E72EA8" w:rsidRDefault="00E72EA8"/>
    <w:p w14:paraId="22AB3967" w14:textId="77777777" w:rsidR="00E72EA8" w:rsidRDefault="00EA467B">
      <w:pPr>
        <w:spacing w:before="120" w:line="300" w:lineRule="atLeast"/>
      </w:pPr>
      <w:r>
        <w:rPr>
          <w:color w:val="000000"/>
        </w:rPr>
        <w:t>1997 Act No. 38, § 1, eff May 21, 1997.</w:t>
      </w:r>
    </w:p>
    <w:p w14:paraId="1DC5F438" w14:textId="77777777" w:rsidR="00E72EA8" w:rsidRDefault="00EA467B">
      <w:pPr>
        <w:spacing w:before="120" w:line="260" w:lineRule="atLeast"/>
      </w:pPr>
      <w:r>
        <w:br/>
      </w:r>
      <w:r>
        <w:rPr>
          <w:color w:val="000000"/>
          <w:sz w:val="20"/>
        </w:rPr>
        <w:t xml:space="preserve">South Carolina Code of Laws Annotated by LexisNexis® </w:t>
      </w:r>
    </w:p>
    <w:p w14:paraId="4E36CCFA" w14:textId="77777777" w:rsidR="00E72EA8" w:rsidRDefault="00EA467B">
      <w:pPr>
        <w:spacing w:line="260" w:lineRule="atLeast"/>
      </w:pPr>
      <w:r>
        <w:rPr>
          <w:color w:val="000000"/>
          <w:sz w:val="20"/>
        </w:rPr>
        <w:t>Copyright © 2024 All rights reserved.</w:t>
      </w:r>
    </w:p>
    <w:p w14:paraId="27627B59" w14:textId="77777777" w:rsidR="00E72EA8" w:rsidRDefault="00E72EA8"/>
    <w:p w14:paraId="0822C7B9" w14:textId="5DA804CE" w:rsidR="00E72EA8" w:rsidRDefault="00EA467B">
      <w:pPr>
        <w:ind w:left="200"/>
      </w:pP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BE7FF" wp14:editId="1B210ACC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502400" cy="0"/>
                <wp:effectExtent l="6350" t="10795" r="6350" b="825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3CF5C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" strokeweight="1pt"/>
            </w:pict>
          </mc:Fallback>
        </mc:AlternateContent>
      </w:r>
      <w:r>
        <w:rPr>
          <w:b/>
          <w:color w:val="767676"/>
          <w:sz w:val="16"/>
        </w:rPr>
        <w:t>End of Document</w:t>
      </w:r>
    </w:p>
    <w:sectPr w:rsidR="00E72EA8">
      <w:type w:val="continuous"/>
      <w:pgSz w:w="12240" w:h="15840"/>
      <w:pgMar w:top="840" w:right="1000" w:bottom="840" w:left="1000" w:header="40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0B2A4" w14:textId="77777777" w:rsidR="00000000" w:rsidRDefault="00EA467B">
      <w:r>
        <w:separator/>
      </w:r>
    </w:p>
  </w:endnote>
  <w:endnote w:type="continuationSeparator" w:id="0">
    <w:p w14:paraId="58B65BD2" w14:textId="77777777" w:rsidR="00000000" w:rsidRDefault="00EA4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2600"/>
      <w:gridCol w:w="4880"/>
      <w:gridCol w:w="2600"/>
    </w:tblGrid>
    <w:tr w:rsidR="00E72EA8" w14:paraId="0F0470E8" w14:textId="77777777"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 w14:paraId="20A71290" w14:textId="77777777" w:rsidR="00E72EA8" w:rsidRDefault="00E72EA8"/>
      </w:tc>
      <w:tc>
        <w:tcPr>
          <w:tcW w:w="4880" w:type="dxa"/>
          <w:tcMar>
            <w:top w:w="200" w:type="dxa"/>
          </w:tcMar>
          <w:vAlign w:val="center"/>
        </w:tcPr>
        <w:p w14:paraId="447FDF33" w14:textId="77777777" w:rsidR="00E72EA8" w:rsidRDefault="00E72EA8"/>
      </w:tc>
      <w:tc>
        <w:tcPr>
          <w:tcW w:w="2600" w:type="dxa"/>
          <w:tcMar>
            <w:top w:w="200" w:type="dxa"/>
          </w:tcMar>
          <w:vAlign w:val="center"/>
        </w:tcPr>
        <w:p w14:paraId="78A28CE7" w14:textId="77777777" w:rsidR="00E72EA8" w:rsidRDefault="00E72EA8"/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D71AA" w14:textId="77777777" w:rsidR="00E72EA8" w:rsidRDefault="00EA467B"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92A06" w14:textId="77777777" w:rsidR="00000000" w:rsidRDefault="00EA467B">
      <w:r>
        <w:separator/>
      </w:r>
    </w:p>
  </w:footnote>
  <w:footnote w:type="continuationSeparator" w:id="0">
    <w:p w14:paraId="61F19F84" w14:textId="77777777" w:rsidR="00000000" w:rsidRDefault="00EA4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10080"/>
    </w:tblGrid>
    <w:tr w:rsidR="00E72EA8" w14:paraId="2E1C74D5" w14:textId="77777777">
      <w:trPr>
        <w:jc w:val="center"/>
      </w:trPr>
      <w:tc>
        <w:tcPr>
          <w:tcW w:w="10080" w:type="dxa"/>
          <w:vAlign w:val="center"/>
        </w:tcPr>
        <w:p w14:paraId="40378CAC" w14:textId="77777777" w:rsidR="00E72EA8" w:rsidRDefault="00EA467B">
          <w:pPr>
            <w:jc w:val="right"/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end"/>
          </w:r>
        </w:p>
      </w:tc>
    </w:tr>
    <w:tr w:rsidR="00E72EA8" w14:paraId="5F6713F9" w14:textId="77777777">
      <w:trPr>
        <w:jc w:val="center"/>
      </w:trPr>
      <w:tc>
        <w:tcPr>
          <w:tcW w:w="10080" w:type="dxa"/>
        </w:tcPr>
        <w:p w14:paraId="14BADAC2" w14:textId="77777777" w:rsidR="00E72EA8" w:rsidRDefault="00EA467B">
          <w:pPr>
            <w:spacing w:before="60" w:after="200"/>
            <w:jc w:val="center"/>
          </w:pPr>
          <w:r>
            <w:rPr>
              <w:sz w:val="20"/>
            </w:rPr>
            <w:t>§ 39-8-30. Trade secrets; employees’ obligation to refrain from disclosing; civil actions and remedies.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A77B3E"/>
    <w:rsid w:val="00CA2A55"/>
    <w:rsid w:val="00E72EA8"/>
    <w:rsid w:val="00EA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499ED246"/>
  <w15:docId w15:val="{D4D9F3A9-3207-4BC0-9F68-1C3BA306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FD80AA6EE7048A1D38BB6CEE4FAE5" ma:contentTypeVersion="17" ma:contentTypeDescription="Create a new document." ma:contentTypeScope="" ma:versionID="e1f4454beee73c25776be75d8ba1dbfd">
  <xsd:schema xmlns:xsd="http://www.w3.org/2001/XMLSchema" xmlns:xs="http://www.w3.org/2001/XMLSchema" xmlns:p="http://schemas.microsoft.com/office/2006/metadata/properties" xmlns:ns3="55d6ef15-79d8-436f-a155-0c3446167541" xmlns:ns4="4e6a8aeb-c29e-4a8a-85db-b95bdfea3467" targetNamespace="http://schemas.microsoft.com/office/2006/metadata/properties" ma:root="true" ma:fieldsID="6651c3938b893f32ab9b9cc8f19019f3" ns3:_="" ns4:_="">
    <xsd:import namespace="55d6ef15-79d8-436f-a155-0c3446167541"/>
    <xsd:import namespace="4e6a8aeb-c29e-4a8a-85db-b95bdfea34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6ef15-79d8-436f-a155-0c34461675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a8aeb-c29e-4a8a-85db-b95bdfea3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6a8aeb-c29e-4a8a-85db-b95bdfea3467" xsi:nil="true"/>
  </documentManagement>
</p:properties>
</file>

<file path=customXml/itemProps1.xml><?xml version="1.0" encoding="utf-8"?>
<ds:datastoreItem xmlns:ds="http://schemas.openxmlformats.org/officeDocument/2006/customXml" ds:itemID="{DB492D46-1207-4439-BA49-0929D50F2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6ef15-79d8-436f-a155-0c3446167541"/>
    <ds:schemaRef ds:uri="4e6a8aeb-c29e-4a8a-85db-b95bdfea3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7E4027-BDA1-41AB-8749-C418B99F4F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C35253-3FC8-4DDB-A459-165FBC9878A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e6a8aeb-c29e-4a8a-85db-b95bdfea3467"/>
    <ds:schemaRef ds:uri="http://purl.org/dc/terms/"/>
    <ds:schemaRef ds:uri="http://schemas.openxmlformats.org/package/2006/metadata/core-properties"/>
    <ds:schemaRef ds:uri="55d6ef15-79d8-436f-a155-0c344616754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1620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§ 39-8-30. Trade secrets; employees’ obligation to refrain from disclosing; civil actions and remedies.</vt:lpstr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39-8-30. Trade secrets; employees’ obligation to refrain from disclosing; civil actions and remedies.</dc:title>
  <dc:creator>Trayce Hockstad</dc:creator>
  <cp:lastModifiedBy>Trayce Hockstad</cp:lastModifiedBy>
  <cp:revision>2</cp:revision>
  <dcterms:created xsi:type="dcterms:W3CDTF">2024-06-03T19:19:00Z</dcterms:created>
  <dcterms:modified xsi:type="dcterms:W3CDTF">2024-06-03T19:19:00Z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225725023</vt:lpwstr>
  </property>
  <property fmtid="{D5CDD505-2E9C-101B-9397-08002B2CF9AE}" pid="3" name="LADocCount">
    <vt:lpwstr>1</vt:lpwstr>
  </property>
  <property fmtid="{D5CDD505-2E9C-101B-9397-08002B2CF9AE}" pid="4" name="LADocumentID:urn:contentItem:5K1J-NM41-DYB7-S09T-00000-00">
    <vt:lpwstr>Doc::/shared/document|contextualFeaturePermID::1519360</vt:lpwstr>
  </property>
  <property fmtid="{D5CDD505-2E9C-101B-9397-08002B2CF9AE}" pid="5" name="UserPermID">
    <vt:lpwstr>urn:user:PA186163333</vt:lpwstr>
  </property>
  <property fmtid="{D5CDD505-2E9C-101B-9397-08002B2CF9AE}" pid="6" name="ContentTypeId">
    <vt:lpwstr>0x010100B91FD80AA6EE7048A1D38BB6CEE4FAE5</vt:lpwstr>
  </property>
</Properties>
</file>