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47-25-1708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Commercial Instruments And Transactions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25 Trade Practices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17 Uniform Trade Secrets Act</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47-25-1708. Effect on other law.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as provided in subsection (b), this part displaces conflicting tort, restitutionary, and other law of this state providing civil remedies for misappropriation of a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This part does not affect:</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Contractual remedies, whether or not based upon misappropriation of a trade secret; provided, that a contractual duty to maintain secrecy or limit use of a trade secret shall not be deemed to be void or unenforceable solely for lack of durational or geographical limitation on the duty;</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Other civil remedies that are not based upon misappropriation of a trade secret; or</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Criminal remedies, whether or not based upon misappropriation of a trade secret.</w:t>
      </w:r>
    </w:p>
    <w:p>
      <w:pPr>
        <w:keepNext w:val="0"/>
        <w:spacing w:before="120" w:after="0" w:line="300" w:lineRule="atLeast"/>
        <w:ind w:left="720" w:right="0"/>
        <w:jc w:val="left"/>
      </w:pPr>
      <w:r>
        <w:rPr>
          <w:b/>
        </w:rPr>
        <w:t xml:space="preserve">(c)  </w:t>
      </w:r>
      <w:bookmarkStart w:id="6" w:name="Bookmark__c"/>
      <w:bookmarkEnd w:id="6"/>
      <w:r>
        <w:rPr>
          <w:rFonts w:ascii="times" w:eastAsia="times" w:hAnsi="times" w:cs="times"/>
          <w:b w:val="0"/>
          <w:i w:val="0"/>
          <w:strike w:val="0"/>
          <w:noProof w:val="0"/>
          <w:color w:val="000000"/>
          <w:position w:val="0"/>
          <w:sz w:val="24"/>
          <w:u w:val="none"/>
          <w:vertAlign w:val="baseline"/>
        </w:rPr>
        <w:t>In no event shall a written contract be required to maintain an action or recover damages for misappropriation of a trade secret proven under this part.</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2000, ch. 647, § 8.                                 </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47-25-1708. Effect on other law.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47-25-1708. Effect on other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225727152</vt:lpwstr>
  </property>
  <property fmtid="{D5CDD505-2E9C-101B-9397-08002B2CF9AE}" pid="3" name="LADocCount">
    <vt:lpwstr>1</vt:lpwstr>
  </property>
  <property fmtid="{D5CDD505-2E9C-101B-9397-08002B2CF9AE}" pid="4" name="LADocumentID:urn:contentItem:4X8K-XR90-R03M-H2N3-00000-00">
    <vt:lpwstr>Doc::/shared/document|contextualFeaturePermID::1519360</vt:lpwstr>
  </property>
  <property fmtid="{D5CDD505-2E9C-101B-9397-08002B2CF9AE}" pid="5" name="UserPermID">
    <vt:lpwstr>urn:user:PA186163333</vt:lpwstr>
  </property>
</Properties>
</file>