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56"/>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Tex. Gov’t Code § 2056.002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the 2023 Regular Session; the 1st C.S.; the 2nd C.S.; the 3rd C.S. and the 4th C.S. of the 88th Legislature; and the November 7, 2023 general election results.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Texas Statutes &amp; Codes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Government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10 General Government (Subts. A — Z)</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B Information and Planning (Chs. 2051 — 2100)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2056 Strategic Plans of Operation (§§ 2056.001 — 2056.011)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Sec. 2056.002. Strategic Plans.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 state agency shall make a strategic plan for its operations. Each even-numbered year, the agency shall issue a plan covering five fiscal years beginning with the next odd-numbered fiscal year.</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 xml:space="preserve">The Legislative Budget Board and the governor’s office shall determine the elements required to be included in each agency’s strategic plan. Unless modified by the Legislative Budget Board and the governor’s office, and except as provided by Subsection (c), a plan must include:                    </w:t>
      </w:r>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 xml:space="preserve">a statement of the mission and goals of the state agency;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 xml:space="preserve">a description of the indicators developed under this chapter and used to measure the output and outcome of the agency;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(3)  </w:t>
      </w:r>
      <w:bookmarkStart w:id="5" w:name="Bookmark__b_3"/>
      <w:bookmarkEnd w:id="5"/>
      <w:r>
        <w:rPr>
          <w:rFonts w:ascii="times" w:eastAsia="times" w:hAnsi="times" w:cs="times"/>
          <w:b w:val="0"/>
          <w:i w:val="0"/>
          <w:strike w:val="0"/>
          <w:noProof w:val="0"/>
          <w:color w:val="000000"/>
          <w:position w:val="0"/>
          <w:sz w:val="24"/>
          <w:u w:val="none"/>
          <w:vertAlign w:val="baseline"/>
        </w:rPr>
        <w:t xml:space="preserve">identification of the groups of people served by the agency, including those having service priorities, or other service measures established by law, and estimates of changes in those groups expected during the term of the plan;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(4)  </w:t>
      </w:r>
      <w:bookmarkStart w:id="6" w:name="Bookmark__b_4"/>
      <w:bookmarkEnd w:id="6"/>
      <w:r>
        <w:rPr>
          <w:rFonts w:ascii="times" w:eastAsia="times" w:hAnsi="times" w:cs="times"/>
          <w:b w:val="0"/>
          <w:i w:val="0"/>
          <w:strike w:val="0"/>
          <w:noProof w:val="0"/>
          <w:color w:val="000000"/>
          <w:position w:val="0"/>
          <w:sz w:val="24"/>
          <w:u w:val="none"/>
          <w:vertAlign w:val="baseline"/>
        </w:rPr>
        <w:t xml:space="preserve">an analysis of the use of the agency’s resources to meet the agency’s needs, including future needs, and an estimate of additional resources that may be necessary to meet future needs;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(5)  </w:t>
      </w:r>
      <w:bookmarkStart w:id="7" w:name="Bookmark__b_5"/>
      <w:bookmarkEnd w:id="7"/>
      <w:r>
        <w:rPr>
          <w:rFonts w:ascii="times" w:eastAsia="times" w:hAnsi="times" w:cs="times"/>
          <w:b w:val="0"/>
          <w:i w:val="0"/>
          <w:strike w:val="0"/>
          <w:noProof w:val="0"/>
          <w:color w:val="000000"/>
          <w:position w:val="0"/>
          <w:sz w:val="24"/>
          <w:u w:val="none"/>
          <w:vertAlign w:val="baseline"/>
        </w:rPr>
        <w:t xml:space="preserve">an analysis of expected changes in the services provided by the agency because of changes in state or federal law;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(6)  </w:t>
      </w:r>
      <w:bookmarkStart w:id="8" w:name="Bookmark__b_6"/>
      <w:bookmarkEnd w:id="8"/>
      <w:r>
        <w:rPr>
          <w:rFonts w:ascii="times" w:eastAsia="times" w:hAnsi="times" w:cs="times"/>
          <w:b w:val="0"/>
          <w:i w:val="0"/>
          <w:strike w:val="0"/>
          <w:noProof w:val="0"/>
          <w:color w:val="000000"/>
          <w:position w:val="0"/>
          <w:sz w:val="24"/>
          <w:u w:val="none"/>
          <w:vertAlign w:val="baseline"/>
        </w:rPr>
        <w:t xml:space="preserve">a description of the means and strategies for meeting the agency’s needs, including future needs, and achieving the goals established under Section 2056.006 for each area of state government for which the agency provides services;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(7)  </w:t>
      </w:r>
      <w:bookmarkStart w:id="9" w:name="Bookmark__b_7"/>
      <w:bookmarkEnd w:id="9"/>
      <w:r>
        <w:rPr>
          <w:rFonts w:ascii="times" w:eastAsia="times" w:hAnsi="times" w:cs="times"/>
          <w:b w:val="0"/>
          <w:i w:val="0"/>
          <w:strike w:val="0"/>
          <w:noProof w:val="0"/>
          <w:color w:val="000000"/>
          <w:position w:val="0"/>
          <w:sz w:val="24"/>
          <w:u w:val="none"/>
          <w:vertAlign w:val="baseline"/>
        </w:rPr>
        <w:t xml:space="preserve">a description of the capital improvement needs of the agency during the term of the plan and a statement, if appropriate, of the priority of those needs;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(8)  </w:t>
      </w:r>
      <w:bookmarkStart w:id="10" w:name="Bookmark__b_8"/>
      <w:bookmarkEnd w:id="10"/>
      <w:r>
        <w:rPr>
          <w:rFonts w:ascii="times" w:eastAsia="times" w:hAnsi="times" w:cs="times"/>
          <w:b w:val="0"/>
          <w:i w:val="0"/>
          <w:strike w:val="0"/>
          <w:noProof w:val="0"/>
          <w:color w:val="000000"/>
          <w:position w:val="0"/>
          <w:sz w:val="24"/>
          <w:u w:val="none"/>
          <w:vertAlign w:val="baseline"/>
        </w:rPr>
        <w:t xml:space="preserve">identification of each geographic region of this state, including the Texas-Louisiana border region and the Texas-Mexico border region, served by the agency, and if appropriate the agency’s means and strategies for serving each region;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(9)  </w:t>
      </w:r>
      <w:bookmarkStart w:id="11" w:name="Bookmark__b_9"/>
      <w:bookmarkEnd w:id="11"/>
      <w:r>
        <w:rPr>
          <w:rFonts w:ascii="times" w:eastAsia="times" w:hAnsi="times" w:cs="times"/>
          <w:b w:val="0"/>
          <w:i w:val="0"/>
          <w:strike w:val="0"/>
          <w:noProof w:val="0"/>
          <w:color w:val="000000"/>
          <w:position w:val="0"/>
          <w:sz w:val="24"/>
          <w:u w:val="none"/>
          <w:vertAlign w:val="baseline"/>
        </w:rPr>
        <w:t xml:space="preserve">a description of the training of the agency’s contract managers under Section 656.052;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(10)  </w:t>
      </w:r>
      <w:bookmarkStart w:id="12" w:name="Bookmark__b_10"/>
      <w:bookmarkEnd w:id="12"/>
      <w:r>
        <w:rPr>
          <w:rFonts w:ascii="times" w:eastAsia="times" w:hAnsi="times" w:cs="times"/>
          <w:b w:val="0"/>
          <w:i w:val="0"/>
          <w:strike w:val="0"/>
          <w:noProof w:val="0"/>
          <w:color w:val="000000"/>
          <w:position w:val="0"/>
          <w:sz w:val="24"/>
          <w:u w:val="none"/>
          <w:vertAlign w:val="baseline"/>
        </w:rPr>
        <w:t xml:space="preserve">an analysis of the agency’s expected expenditures that relate to federally owned or operated military installations or facilities, or communities where a federally owned or operated military installation or facility is located;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(11)  </w:t>
      </w:r>
      <w:bookmarkStart w:id="13" w:name="Bookmark__b_11"/>
      <w:bookmarkEnd w:id="13"/>
      <w:r>
        <w:rPr>
          <w:rFonts w:ascii="times" w:eastAsia="times" w:hAnsi="times" w:cs="times"/>
          <w:b w:val="0"/>
          <w:i w:val="0"/>
          <w:strike w:val="0"/>
          <w:noProof w:val="0"/>
          <w:color w:val="000000"/>
          <w:position w:val="0"/>
          <w:sz w:val="24"/>
          <w:u w:val="none"/>
          <w:vertAlign w:val="baseline"/>
        </w:rPr>
        <w:t xml:space="preserve">an analysis of the strategic use of information resources as provided by the instructions prepared under Section 2054.095;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(12)  </w:t>
      </w:r>
      <w:bookmarkStart w:id="14" w:name="Bookmark__b_12"/>
      <w:bookmarkEnd w:id="14"/>
      <w:r>
        <w:rPr>
          <w:rFonts w:ascii="times" w:eastAsia="times" w:hAnsi="times" w:cs="times"/>
          <w:b w:val="0"/>
          <w:i w:val="0"/>
          <w:strike w:val="0"/>
          <w:noProof w:val="0"/>
          <w:color w:val="000000"/>
          <w:position w:val="0"/>
          <w:sz w:val="24"/>
          <w:u w:val="none"/>
          <w:vertAlign w:val="baseline"/>
        </w:rPr>
        <w:t xml:space="preserve">a written certification of the agency’s compliance with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training required under Sections 2054.5191 and 2054.5192; and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(13)  </w:t>
      </w:r>
      <w:bookmarkStart w:id="15" w:name="Bookmark__b_13"/>
      <w:bookmarkEnd w:id="15"/>
      <w:r>
        <w:rPr>
          <w:rFonts w:ascii="times" w:eastAsia="times" w:hAnsi="times" w:cs="times"/>
          <w:b w:val="0"/>
          <w:i w:val="0"/>
          <w:strike w:val="0"/>
          <w:noProof w:val="0"/>
          <w:color w:val="000000"/>
          <w:position w:val="0"/>
          <w:sz w:val="24"/>
          <w:u w:val="none"/>
          <w:vertAlign w:val="baseline"/>
        </w:rPr>
        <w:t xml:space="preserve">other information that may be required.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720" w:right="0"/>
        <w:jc w:val="left"/>
      </w:pPr>
      <w:r>
        <w:rPr>
          <w:b/>
        </w:rPr>
        <w:t xml:space="preserve">(c)  </w:t>
      </w:r>
      <w:bookmarkStart w:id="16" w:name="Bookmark__c"/>
      <w:bookmarkEnd w:id="16"/>
      <w:r>
        <w:rPr>
          <w:rFonts w:ascii="times" w:eastAsia="times" w:hAnsi="times" w:cs="times"/>
          <w:b w:val="0"/>
          <w:i w:val="0"/>
          <w:strike w:val="0"/>
          <w:noProof w:val="0"/>
          <w:color w:val="000000"/>
          <w:position w:val="0"/>
          <w:sz w:val="24"/>
          <w:u w:val="none"/>
          <w:vertAlign w:val="baseline"/>
        </w:rPr>
        <w:t>A state agency’s plan that does not include an item described by Subsection (b) must include the reason the item does not apply to the agency.</w:t>
      </w:r>
    </w:p>
    <w:p>
      <w:pPr>
        <w:keepNext w:val="0"/>
        <w:spacing w:before="120" w:after="0" w:line="300" w:lineRule="atLeast"/>
        <w:ind w:left="720" w:right="0"/>
        <w:jc w:val="left"/>
      </w:pPr>
      <w:r>
        <w:rPr>
          <w:b/>
        </w:rPr>
        <w:t xml:space="preserve">(d)  </w:t>
      </w:r>
      <w:bookmarkStart w:id="17" w:name="Bookmark__d"/>
      <w:bookmarkEnd w:id="17"/>
      <w:r>
        <w:rPr>
          <w:rFonts w:ascii="times" w:eastAsia="times" w:hAnsi="times" w:cs="times"/>
          <w:b w:val="0"/>
          <w:i w:val="0"/>
          <w:strike w:val="0"/>
          <w:noProof w:val="0"/>
          <w:color w:val="000000"/>
          <w:position w:val="0"/>
          <w:sz w:val="24"/>
          <w:u w:val="none"/>
          <w:vertAlign w:val="baseline"/>
        </w:rPr>
        <w:t>A state agency shall send two copies of each plan to both the Legislative Reference Library and the state publications clearinghouse of the Texas State Library and one copy each to:</w:t>
      </w:r>
    </w:p>
    <w:p>
      <w:pPr>
        <w:keepNext w:val="0"/>
        <w:spacing w:before="120" w:after="0" w:line="300" w:lineRule="atLeast"/>
        <w:ind w:left="1080" w:right="0"/>
        <w:jc w:val="left"/>
      </w:pPr>
      <w:r>
        <w:rPr>
          <w:b/>
        </w:rPr>
        <w:t xml:space="preserve">(1)  </w:t>
      </w:r>
      <w:bookmarkStart w:id="18" w:name="Bookmark__d_1"/>
      <w:bookmarkEnd w:id="18"/>
      <w:r>
        <w:rPr>
          <w:rFonts w:ascii="times" w:eastAsia="times" w:hAnsi="times" w:cs="times"/>
          <w:b w:val="0"/>
          <w:i w:val="0"/>
          <w:strike w:val="0"/>
          <w:noProof w:val="0"/>
          <w:color w:val="000000"/>
          <w:position w:val="0"/>
          <w:sz w:val="24"/>
          <w:u w:val="none"/>
          <w:vertAlign w:val="baseline"/>
        </w:rPr>
        <w:t>the governor;</w:t>
      </w:r>
    </w:p>
    <w:p>
      <w:pPr>
        <w:keepNext w:val="0"/>
        <w:spacing w:before="120" w:after="0" w:line="300" w:lineRule="atLeast"/>
        <w:ind w:left="1080" w:right="0"/>
        <w:jc w:val="left"/>
      </w:pPr>
      <w:r>
        <w:rPr>
          <w:b/>
        </w:rPr>
        <w:t xml:space="preserve">(2)  </w:t>
      </w:r>
      <w:bookmarkStart w:id="19" w:name="Bookmark__d_2"/>
      <w:bookmarkEnd w:id="19"/>
      <w:r>
        <w:rPr>
          <w:rFonts w:ascii="times" w:eastAsia="times" w:hAnsi="times" w:cs="times"/>
          <w:b w:val="0"/>
          <w:i w:val="0"/>
          <w:strike w:val="0"/>
          <w:noProof w:val="0"/>
          <w:color w:val="000000"/>
          <w:position w:val="0"/>
          <w:sz w:val="24"/>
          <w:u w:val="none"/>
          <w:vertAlign w:val="baseline"/>
        </w:rPr>
        <w:t>the lieutenant governor;</w:t>
      </w:r>
    </w:p>
    <w:p>
      <w:pPr>
        <w:keepNext w:val="0"/>
        <w:spacing w:before="120" w:after="0" w:line="300" w:lineRule="atLeast"/>
        <w:ind w:left="1080" w:right="0"/>
        <w:jc w:val="left"/>
      </w:pPr>
      <w:r>
        <w:rPr>
          <w:b/>
        </w:rPr>
        <w:t xml:space="preserve">(3)  </w:t>
      </w:r>
      <w:bookmarkStart w:id="20" w:name="Bookmark__d_3"/>
      <w:bookmarkEnd w:id="20"/>
      <w:r>
        <w:rPr>
          <w:rFonts w:ascii="times" w:eastAsia="times" w:hAnsi="times" w:cs="times"/>
          <w:b w:val="0"/>
          <w:i w:val="0"/>
          <w:strike w:val="0"/>
          <w:noProof w:val="0"/>
          <w:color w:val="000000"/>
          <w:position w:val="0"/>
          <w:sz w:val="24"/>
          <w:u w:val="none"/>
          <w:vertAlign w:val="baseline"/>
        </w:rPr>
        <w:t>the speaker of the house of representatives;</w:t>
      </w:r>
    </w:p>
    <w:p>
      <w:pPr>
        <w:keepNext w:val="0"/>
        <w:spacing w:before="120" w:after="0" w:line="300" w:lineRule="atLeast"/>
        <w:ind w:left="1080" w:right="0"/>
        <w:jc w:val="left"/>
      </w:pPr>
      <w:r>
        <w:rPr>
          <w:b/>
        </w:rPr>
        <w:t xml:space="preserve">(4)  </w:t>
      </w:r>
      <w:bookmarkStart w:id="21" w:name="Bookmark__d_4"/>
      <w:bookmarkEnd w:id="21"/>
      <w:r>
        <w:rPr>
          <w:rFonts w:ascii="times" w:eastAsia="times" w:hAnsi="times" w:cs="times"/>
          <w:b w:val="0"/>
          <w:i w:val="0"/>
          <w:strike w:val="0"/>
          <w:noProof w:val="0"/>
          <w:color w:val="000000"/>
          <w:position w:val="0"/>
          <w:sz w:val="24"/>
          <w:u w:val="none"/>
          <w:vertAlign w:val="baseline"/>
        </w:rPr>
        <w:t>the Legislative Budget Board; and</w:t>
      </w:r>
    </w:p>
    <w:p>
      <w:pPr>
        <w:keepNext w:val="0"/>
        <w:spacing w:before="120" w:after="0" w:line="300" w:lineRule="atLeast"/>
        <w:ind w:left="1080" w:right="0"/>
        <w:jc w:val="left"/>
      </w:pPr>
      <w:r>
        <w:rPr>
          <w:b/>
        </w:rPr>
        <w:t xml:space="preserve">(5)  </w:t>
      </w:r>
      <w:bookmarkStart w:id="22" w:name="Bookmark__d_5"/>
      <w:bookmarkEnd w:id="22"/>
      <w:r>
        <w:rPr>
          <w:rFonts w:ascii="times" w:eastAsia="times" w:hAnsi="times" w:cs="times"/>
          <w:b w:val="0"/>
          <w:i w:val="0"/>
          <w:strike w:val="0"/>
          <w:noProof w:val="0"/>
          <w:color w:val="000000"/>
          <w:position w:val="0"/>
          <w:sz w:val="24"/>
          <w:u w:val="none"/>
          <w:vertAlign w:val="baseline"/>
        </w:rPr>
        <w:t>the state auditor.</w:t>
      </w:r>
    </w:p>
    <w:p>
      <w:pPr>
        <w:keepNext w:val="0"/>
        <w:spacing w:before="120" w:after="0" w:line="300" w:lineRule="atLeast"/>
        <w:ind w:left="720" w:right="0"/>
        <w:jc w:val="left"/>
      </w:pPr>
      <w:r>
        <w:rPr>
          <w:b/>
        </w:rPr>
        <w:t xml:space="preserve">(e)  </w:t>
      </w:r>
      <w:bookmarkStart w:id="23" w:name="Bookmark__e"/>
      <w:bookmarkEnd w:id="23"/>
      <w:r>
        <w:rPr>
          <w:rFonts w:ascii="times" w:eastAsia="times" w:hAnsi="times" w:cs="times"/>
          <w:b w:val="0"/>
          <w:i w:val="0"/>
          <w:strike w:val="0"/>
          <w:noProof w:val="0"/>
          <w:color w:val="000000"/>
          <w:position w:val="0"/>
          <w:sz w:val="24"/>
          <w:u w:val="none"/>
          <w:vertAlign w:val="baseline"/>
        </w:rPr>
        <w:t>In this section:</w:t>
      </w:r>
    </w:p>
    <w:p>
      <w:pPr>
        <w:keepNext w:val="0"/>
        <w:spacing w:before="120" w:after="0" w:line="300" w:lineRule="atLeast"/>
        <w:ind w:left="1080" w:right="0"/>
        <w:jc w:val="left"/>
      </w:pPr>
      <w:r>
        <w:rPr>
          <w:b/>
        </w:rPr>
        <w:t xml:space="preserve">(1)  </w:t>
      </w:r>
      <w:bookmarkStart w:id="24" w:name="Bookmark__e_1"/>
      <w:bookmarkEnd w:id="24"/>
      <w:r>
        <w:rPr>
          <w:rFonts w:ascii="times" w:eastAsia="times" w:hAnsi="times" w:cs="times"/>
          <w:b w:val="0"/>
          <w:i w:val="0"/>
          <w:strike w:val="0"/>
          <w:noProof w:val="0"/>
          <w:color w:val="000000"/>
          <w:position w:val="0"/>
          <w:sz w:val="24"/>
          <w:u w:val="none"/>
          <w:vertAlign w:val="baseline"/>
        </w:rPr>
        <w:t>“Capital improvement” means any building or infrastructure project that will be owned by the state and built with direct appropriations or with the proceeds of state-issued bonds or paid from revenue sources other than general revenue.</w:t>
      </w:r>
    </w:p>
    <w:p>
      <w:pPr>
        <w:keepNext w:val="0"/>
        <w:spacing w:before="120" w:after="0" w:line="300" w:lineRule="atLeast"/>
        <w:ind w:left="1080" w:right="0"/>
        <w:jc w:val="left"/>
      </w:pPr>
      <w:r>
        <w:rPr>
          <w:b/>
        </w:rPr>
        <w:t xml:space="preserve">(2)  </w:t>
      </w:r>
      <w:bookmarkStart w:id="25" w:name="Bookmark__e_2"/>
      <w:bookmarkEnd w:id="25"/>
      <w:r>
        <w:rPr>
          <w:rFonts w:ascii="times" w:eastAsia="times" w:hAnsi="times" w:cs="times"/>
          <w:b w:val="0"/>
          <w:i w:val="0"/>
          <w:strike w:val="0"/>
          <w:noProof w:val="0"/>
          <w:color w:val="000000"/>
          <w:position w:val="0"/>
          <w:sz w:val="24"/>
          <w:u w:val="none"/>
          <w:vertAlign w:val="baseline"/>
        </w:rPr>
        <w:t>“Texas-Louisiana border region” means the area consisting of the counties of Bowie, Camp, Cass, Delta, Franklin, Gregg, Harrison, Hopkins, Lamar, Marion, Morris, Panola, Red River, Rusk, Smith, Titus, Upshur, and Wood.</w:t>
      </w:r>
    </w:p>
    <w:p>
      <w:pPr>
        <w:keepNext w:val="0"/>
        <w:spacing w:before="120" w:after="0" w:line="300" w:lineRule="atLeast"/>
        <w:ind w:left="1080" w:right="0"/>
        <w:jc w:val="left"/>
      </w:pPr>
      <w:r>
        <w:rPr>
          <w:b/>
        </w:rPr>
        <w:t xml:space="preserve">(3)  </w:t>
      </w:r>
      <w:bookmarkStart w:id="26" w:name="Bookmark__e_3"/>
      <w:bookmarkEnd w:id="26"/>
      <w:r>
        <w:rPr>
          <w:rFonts w:ascii="times" w:eastAsia="times" w:hAnsi="times" w:cs="times"/>
          <w:b w:val="0"/>
          <w:i w:val="0"/>
          <w:strike w:val="0"/>
          <w:noProof w:val="0"/>
          <w:color w:val="000000"/>
          <w:position w:val="0"/>
          <w:sz w:val="24"/>
          <w:u w:val="none"/>
          <w:vertAlign w:val="baseline"/>
        </w:rPr>
        <w:t>“Texas-Mexico border region” means the area consisting of the counties of Atascosa, Bandera, Bexar, Brewster, Brooks, Cameron, Crockett, Culberson, Dimmit, Duval, Edwards, El Paso, Frio, Hidalgo, Hudspeth, Jeff Davis, Jim Hogg, Jim Wells, Kenedy, Kerr, Kimble, Kinney, Kleberg, La Salle, Live Oak, Maverick, McMullen, Medina, Nueces, Pecos, Presidio, Real, Reeves, San Patricio, Starr, Sutton, Terrell, Uvalde, Val Verde, Webb, Willacy, Zapata, and Zavala.</w:t>
      </w:r>
    </w:p>
    <w:p>
      <w:pPr>
        <w:keepNext/>
        <w:spacing w:before="240" w:after="0" w:line="340" w:lineRule="atLeast"/>
        <w:ind w:left="0" w:right="0" w:firstLine="0"/>
        <w:jc w:val="left"/>
      </w:pPr>
      <w:bookmarkStart w:id="27" w:name="History"/>
      <w:bookmarkEnd w:id="2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Enacted by Acts 1993, 73rd Leg., ch. 268 (S.B. 248), § 1, effective September 1, 1993; am. Acts 1995, 74th Leg., ch. 76 (S.B. 959), § 5.29(a), effective September 1, 1995; am. Acts 1999, 76th Leg., ch. 188 (S.B. 501), § 1, effective September 1, 1999; am. Acts 2001, 77th Leg., ch. 1422 (S.B. 311), § 5.02, effective September 1, 2001; am. Acts 2003, 78th Leg., ch. 149 (S.B. 652), § 6, effective May 28, 2003; am. Acts 2007, 80th Leg., ch. 691 (H.B. 1788), § 13, effective September 1, 2007; Acts 2015, 84th Leg., ch. 1203 (S.B. 1455), § 13, effective September 1, 2015; Acts 2017, 85th Leg., ch. 526 (S.B. 255), § 4, effective September 1, 2017; Acts 2019, 86th Leg., ch. 573 (S.B. 241), § 1.17, effective September 1, 2019; Acts 2021, 87th Leg., ch. 51 (H.B. 1118), § 4, effective May 18, 2021.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Texas Statutes &amp; Codes Annotated by LexisNexis®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Tex. Gov’t Code § 2056.002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 Gov’t Code § 2056.002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56</vt:lpwstr>
  </property>
  <property fmtid="{D5CDD505-2E9C-101B-9397-08002B2CF9AE}" pid="3" name="LADocCount">
    <vt:lpwstr>1</vt:lpwstr>
  </property>
  <property fmtid="{D5CDD505-2E9C-101B-9397-08002B2CF9AE}" pid="4" name="LADocumentID:56">
    <vt:lpwstr>Doc::urn:hlct:15|contextualFeaturePermID::1519360</vt:lpwstr>
  </property>
  <property fmtid="{D5CDD505-2E9C-101B-9397-08002B2CF9AE}" pid="5" name="UserPermID">
    <vt:lpwstr>urn:user:PA186163333</vt:lpwstr>
  </property>
</Properties>
</file>