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2054.069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C General Powers and Duties of Department [Expires September 1, 2025] (§§ 2054.051 — 2054.0701)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2054.069. Prioritized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and Legacy System Projects Report.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Not later than October 1 of each even-numbered year, the department shall submit a report to the Legislative Budget Board that prioritizes, for the purpose of receiving funding, state agency:</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projects;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projects to modernize or replace legacy systems, as defined by Section 2054.571.</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Each state agency shall coordinate with the department to implement this section.</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A state agency shall assert any exception available under state or federal law, including Section 552.139, in response to a request for public disclosure of information contained in or written, produced, collected, assembled, or maintained in connection with the report under Subsection (a). Section 552.007 does not apply to information described by this subsection.</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86th Leg., ch. 509 (S.B. 64), § 12,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2054.069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2054.069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