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411.084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 Executive Branch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Law Enforcement and Public Protection (Chs. 411 — 430)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411 Department of Public Safety of the State of Texas (Subchs.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F Criminal History Record Information (§§ 411.081 — 411.14102)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411.084. Use of Criminal History Record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Criminal history record information obtained from the department under this subchapter, including any identification information that could reveal the identity of a person about whom criminal history record information is requested and information that directly or indirectly indicates or implies involvement of a person in the criminal justice system: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is for the exclusive use of the authorized recipient of the information; and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may be disclosed or used by the recipient only if, and only to the extent that, disclosure or use is authorized or directed by:</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this subchapter;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another statute;</w:t>
      </w:r>
    </w:p>
    <w:p>
      <w:pPr>
        <w:keepNext w:val="0"/>
        <w:spacing w:before="120" w:after="0" w:line="300" w:lineRule="atLeast"/>
        <w:ind w:left="1440" w:right="0"/>
        <w:jc w:val="left"/>
      </w:pPr>
      <w:r>
        <w:rPr>
          <w:b/>
        </w:rPr>
        <w:t xml:space="preserve">(C)  </w:t>
      </w:r>
      <w:bookmarkStart w:id="6" w:name="Bookmark__a_2_c"/>
      <w:bookmarkEnd w:id="6"/>
      <w:r>
        <w:rPr>
          <w:rFonts w:ascii="times" w:eastAsia="times" w:hAnsi="times" w:cs="times"/>
          <w:b w:val="0"/>
          <w:i w:val="0"/>
          <w:strike w:val="0"/>
          <w:noProof w:val="0"/>
          <w:color w:val="000000"/>
          <w:position w:val="0"/>
          <w:sz w:val="24"/>
          <w:u w:val="none"/>
          <w:vertAlign w:val="baseline"/>
        </w:rPr>
        <w:t>a rule adopted under a statute; or</w:t>
      </w:r>
    </w:p>
    <w:p>
      <w:pPr>
        <w:keepNext w:val="0"/>
        <w:spacing w:before="120" w:after="0" w:line="300" w:lineRule="atLeast"/>
        <w:ind w:left="1440" w:right="0"/>
        <w:jc w:val="left"/>
      </w:pPr>
      <w:r>
        <w:rPr>
          <w:b/>
        </w:rPr>
        <w:t xml:space="preserve">(D)  </w:t>
      </w:r>
      <w:bookmarkStart w:id="7" w:name="Bookmark__a_2_d"/>
      <w:bookmarkEnd w:id="7"/>
      <w:r>
        <w:rPr>
          <w:rFonts w:ascii="times" w:eastAsia="times" w:hAnsi="times" w:cs="times"/>
          <w:b w:val="0"/>
          <w:i w:val="0"/>
          <w:strike w:val="0"/>
          <w:noProof w:val="0"/>
          <w:color w:val="000000"/>
          <w:position w:val="0"/>
          <w:sz w:val="24"/>
          <w:u w:val="none"/>
          <w:vertAlign w:val="baseline"/>
        </w:rPr>
        <w:t>an order of a court of competent jurisdiction.</w:t>
      </w:r>
    </w:p>
    <w:p>
      <w:pPr>
        <w:keepNext w:val="0"/>
        <w:spacing w:before="120" w:after="0" w:line="300" w:lineRule="atLeast"/>
        <w:ind w:left="720" w:right="0"/>
        <w:jc w:val="left"/>
      </w:pPr>
      <w:r>
        <w:rPr>
          <w:b/>
        </w:rPr>
        <w:t>(a-1)</w:t>
      </w:r>
      <w:bookmarkStart w:id="8" w:name="Bookmark__a-1"/>
      <w:bookmarkEnd w:id="8"/>
      <w:r>
        <w:rPr>
          <w:rFonts w:ascii="times" w:eastAsia="times" w:hAnsi="times" w:cs="times"/>
          <w:b w:val="0"/>
          <w:i w:val="0"/>
          <w:strike w:val="0"/>
          <w:noProof w:val="0"/>
          <w:color w:val="000000"/>
          <w:position w:val="0"/>
          <w:sz w:val="24"/>
          <w:u w:val="none"/>
          <w:vertAlign w:val="baseline"/>
        </w:rPr>
        <w:t>The term “criminal history record” information under Subsection (a) does not refer to any specific document produced to comply with this subchapter but to the information contained, wholly or partly, in a document’s original form or any subsequent form or use.</w:t>
      </w:r>
    </w:p>
    <w:p>
      <w:pPr>
        <w:keepNext w:val="0"/>
        <w:spacing w:before="120" w:after="0" w:line="300" w:lineRule="atLeast"/>
        <w:ind w:left="720" w:right="0"/>
        <w:jc w:val="left"/>
      </w:pPr>
      <w:r>
        <w:rPr>
          <w:b/>
        </w:rPr>
        <w:t xml:space="preserve">(b)  </w:t>
      </w:r>
      <w:bookmarkStart w:id="9" w:name="Bookmark__b"/>
      <w:bookmarkEnd w:id="9"/>
      <w:r>
        <w:rPr>
          <w:rFonts w:ascii="times" w:eastAsia="times" w:hAnsi="times" w:cs="times"/>
          <w:b w:val="0"/>
          <w:i w:val="0"/>
          <w:strike w:val="0"/>
          <w:noProof w:val="0"/>
          <w:color w:val="000000"/>
          <w:position w:val="0"/>
          <w:sz w:val="24"/>
          <w:u w:val="none"/>
          <w:vertAlign w:val="baseline"/>
        </w:rPr>
        <w:t>Notwithstanding Subsection (a) or any other provision in this subchapter relating to the release or disclosure of such information, criminal history record information obtained from the Federal Bureau of Investigation may be released or disclosed only to a governmental entity or as authorized by federal law and regulations, federal executive orders, and federal policy.</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An agency or individual may not confirm the existence or nonexistence of criminal history record information to any person that is not eligible to receive the information.</w:t>
      </w:r>
    </w:p>
    <w:p>
      <w:pPr>
        <w:keepNext w:val="0"/>
        <w:spacing w:before="120" w:after="0" w:line="300" w:lineRule="atLeast"/>
        <w:ind w:left="72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Notwithstanding any other provision of this subchapter, a private entity that purchases information from the department is not required to provide proof of cyber-threat insurance coverage or post a performance bond if that entity:</w:t>
      </w:r>
    </w:p>
    <w:p>
      <w:pPr>
        <w:keepNext w:val="0"/>
        <w:spacing w:before="120" w:after="0" w:line="300" w:lineRule="atLeast"/>
        <w:ind w:left="1080" w:right="0"/>
        <w:jc w:val="left"/>
      </w:pPr>
      <w:r>
        <w:rPr>
          <w:b/>
        </w:rPr>
        <w:t xml:space="preserve">(1)  </w:t>
      </w:r>
      <w:bookmarkStart w:id="12" w:name="Bookmark__d_1"/>
      <w:bookmarkEnd w:id="12"/>
      <w:r>
        <w:rPr>
          <w:rFonts w:ascii="times" w:eastAsia="times" w:hAnsi="times" w:cs="times"/>
          <w:b w:val="0"/>
          <w:i w:val="0"/>
          <w:strike w:val="0"/>
          <w:noProof w:val="0"/>
          <w:color w:val="000000"/>
          <w:position w:val="0"/>
          <w:sz w:val="24"/>
          <w:u w:val="none"/>
          <w:vertAlign w:val="baseline"/>
        </w:rPr>
        <w:t xml:space="preserve">provides proof of an audit by a certified public accountant certifying that the requestor has implemented internal controls and security protocols that are consistent with the National Institute of Standards and Technology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approved by the Department of Information Resources or an IT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professional certified by the National Institute of Standards and Technology or a similar organization;</w:t>
      </w:r>
    </w:p>
    <w:p>
      <w:pPr>
        <w:keepNext w:val="0"/>
        <w:spacing w:before="120" w:after="0" w:line="300" w:lineRule="atLeast"/>
        <w:ind w:left="1080" w:right="0"/>
        <w:jc w:val="left"/>
      </w:pPr>
      <w:r>
        <w:rPr>
          <w:b/>
        </w:rPr>
        <w:t xml:space="preserve">(2)  </w:t>
      </w:r>
      <w:bookmarkStart w:id="13" w:name="Bookmark__d_2"/>
      <w:bookmarkEnd w:id="13"/>
      <w:r>
        <w:rPr>
          <w:rFonts w:ascii="times" w:eastAsia="times" w:hAnsi="times" w:cs="times"/>
          <w:b w:val="0"/>
          <w:i w:val="0"/>
          <w:strike w:val="0"/>
          <w:noProof w:val="0"/>
          <w:color w:val="000000"/>
          <w:position w:val="0"/>
          <w:sz w:val="24"/>
          <w:u w:val="none"/>
          <w:vertAlign w:val="baseline"/>
        </w:rPr>
        <w:t>provides proof of Payment Card Industry Data Security Standard (PCI DSS) certification or certification by a similar organization recognized by the Department of Information Resources; or</w:t>
      </w:r>
    </w:p>
    <w:p>
      <w:pPr>
        <w:keepNext w:val="0"/>
        <w:spacing w:before="120" w:after="0" w:line="300" w:lineRule="atLeast"/>
        <w:ind w:left="1080" w:right="0"/>
        <w:jc w:val="left"/>
      </w:pPr>
      <w:r>
        <w:rPr>
          <w:b/>
        </w:rPr>
        <w:t xml:space="preserve">(3)  </w:t>
      </w:r>
      <w:bookmarkStart w:id="14" w:name="Bookmark__d_3"/>
      <w:bookmarkEnd w:id="14"/>
      <w:r>
        <w:rPr>
          <w:rFonts w:ascii="times" w:eastAsia="times" w:hAnsi="times" w:cs="times"/>
          <w:b w:val="0"/>
          <w:i w:val="0"/>
          <w:strike w:val="0"/>
          <w:noProof w:val="0"/>
          <w:color w:val="000000"/>
          <w:position w:val="0"/>
          <w:sz w:val="24"/>
          <w:u w:val="none"/>
          <w:vertAlign w:val="baseline"/>
        </w:rPr>
        <w:t xml:space="preserve">provides proof of compliance with voluntary compliance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developed by a national organization of certified public accountants for the management of customer data, including SOC 1, SOC 2, or SOC.</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1993, 73rd Leg., ch. 790 (S.B. 510), § 35, effective September 1, 1993; am. Acts 2003, 78th Leg., ch. 296 (H.B. 2622), § 1, effective September 1, 2003; am. Acts 2009, 81st Leg., ch. 1146 (H.B. 2730), § 9A.01, effective September 1, 2009; am. Acts 2009, 81st Leg., ch. 1146 (H.B. 2730), § 10.03, effective June 19, 2009; Acts 2023, 88th Leg., ch. 871 (H.B. 4123), § 12, effective June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411.084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411.084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vt:lpwstr>
  </property>
  <property fmtid="{D5CDD505-2E9C-101B-9397-08002B2CF9AE}" pid="3" name="LADocCount">
    <vt:lpwstr>1</vt:lpwstr>
  </property>
  <property fmtid="{D5CDD505-2E9C-101B-9397-08002B2CF9AE}" pid="4" name="LADocumentID:24">
    <vt:lpwstr>Doc::urn:hlct:15|contextualFeaturePermID::1519360</vt:lpwstr>
  </property>
  <property fmtid="{D5CDD505-2E9C-101B-9397-08002B2CF9AE}" pid="5" name="UserPermID">
    <vt:lpwstr>urn:user:PA186163333</vt:lpwstr>
  </property>
</Properties>
</file>