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Utilities Code § 39.1516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Utilities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Utility Regulatory Act (Subts.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Electric Utilities [Expires September 1, 2023] (Chs. 31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39 Restructuring of Electric Utility Industry [Expires September 1, 2023] (Subchs.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D Market Structure (§§ 39.151 — 39.167)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39.1516.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Monitor.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“monitored utility” means: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 transmission and distribution utility;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 corporation described in Section 32.053;</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a municipally owned utility or electric cooperative that owns or operates equipment or facilities in the ERCOT power region to transmit electricity at 60 or more kilovolts; or</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an electric utility, municipally owned utility, or electric cooperative that operates solely outside the ERCOT power region that has elected to participate under Subsection (d).</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 xml:space="preserve">The commission and the independent organization certified under Section 39.151 shall contract with an entity selected by the commission to act as the commission’s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to:</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 xml:space="preserve">manage a comprehensive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outreach program for monitored utilities;</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meet regularly with monitored utilities to discuss emerging threats, best business practices, and training opportunities;</w:t>
      </w:r>
    </w:p>
    <w:p>
      <w:pPr>
        <w:keepNext w:val="0"/>
        <w:spacing w:before="120" w:after="0" w:line="300" w:lineRule="atLeast"/>
        <w:ind w:left="1080" w:right="0"/>
        <w:jc w:val="left"/>
      </w:pPr>
      <w:r>
        <w:rPr>
          <w:b/>
        </w:rPr>
        <w:t xml:space="preserve">(3)  </w:t>
      </w:r>
      <w:bookmarkStart w:id="9" w:name="Bookmark__b_3"/>
      <w:bookmarkEnd w:id="9"/>
      <w:r>
        <w:rPr>
          <w:rFonts w:ascii="times" w:eastAsia="times" w:hAnsi="times" w:cs="times"/>
          <w:b w:val="0"/>
          <w:i w:val="0"/>
          <w:strike w:val="0"/>
          <w:noProof w:val="0"/>
          <w:color w:val="000000"/>
          <w:position w:val="0"/>
          <w:sz w:val="24"/>
          <w:u w:val="none"/>
          <w:vertAlign w:val="baseline"/>
        </w:rPr>
        <w:t xml:space="preserve">review self-assessments voluntarily disclosed by monitored utilities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w:t>
      </w:r>
    </w:p>
    <w:p>
      <w:pPr>
        <w:keepNext w:val="0"/>
        <w:spacing w:before="120" w:after="0" w:line="300" w:lineRule="atLeast"/>
        <w:ind w:left="1080" w:right="0"/>
        <w:jc w:val="left"/>
      </w:pPr>
      <w:r>
        <w:rPr>
          <w:b/>
        </w:rPr>
        <w:t xml:space="preserve">(4)  </w:t>
      </w:r>
      <w:bookmarkStart w:id="10" w:name="Bookmark__b_4"/>
      <w:bookmarkEnd w:id="10"/>
      <w:r>
        <w:rPr>
          <w:rFonts w:ascii="times" w:eastAsia="times" w:hAnsi="times" w:cs="times"/>
          <w:b w:val="0"/>
          <w:i w:val="0"/>
          <w:strike w:val="0"/>
          <w:noProof w:val="0"/>
          <w:color w:val="000000"/>
          <w:position w:val="0"/>
          <w:sz w:val="24"/>
          <w:u w:val="none"/>
          <w:vertAlign w:val="baseline"/>
        </w:rPr>
        <w:t xml:space="preserve">research and develop best business practices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080" w:right="0"/>
        <w:jc w:val="left"/>
      </w:pPr>
      <w:r>
        <w:rPr>
          <w:b/>
        </w:rPr>
        <w:t xml:space="preserve">(5)  </w:t>
      </w:r>
      <w:bookmarkStart w:id="11" w:name="Bookmark__b_5"/>
      <w:bookmarkEnd w:id="11"/>
      <w:r>
        <w:rPr>
          <w:rFonts w:ascii="times" w:eastAsia="times" w:hAnsi="times" w:cs="times"/>
          <w:b w:val="0"/>
          <w:i w:val="0"/>
          <w:strike w:val="0"/>
          <w:noProof w:val="0"/>
          <w:color w:val="000000"/>
          <w:position w:val="0"/>
          <w:sz w:val="24"/>
          <w:u w:val="none"/>
          <w:vertAlign w:val="baseline"/>
        </w:rPr>
        <w:t xml:space="preserve">report to the commission on monitored utility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w:t>
      </w:r>
    </w:p>
    <w:p>
      <w:pPr>
        <w:keepNext w:val="0"/>
        <w:spacing w:before="120" w:after="0" w:line="300" w:lineRule="atLeast"/>
        <w:ind w:left="720" w:right="0"/>
        <w:jc w:val="left"/>
      </w:pPr>
      <w:r>
        <w:rPr>
          <w:b/>
        </w:rPr>
        <w:t xml:space="preserve">(c)  </w:t>
      </w:r>
      <w:bookmarkStart w:id="12" w:name="Bookmark__c"/>
      <w:bookmarkEnd w:id="12"/>
      <w:r>
        <w:rPr>
          <w:rFonts w:ascii="times" w:eastAsia="times" w:hAnsi="times" w:cs="times"/>
          <w:b w:val="0"/>
          <w:i w:val="0"/>
          <w:strike w:val="0"/>
          <w:noProof w:val="0"/>
          <w:color w:val="000000"/>
          <w:position w:val="0"/>
          <w:sz w:val="24"/>
          <w:u w:val="none"/>
          <w:vertAlign w:val="baseline"/>
        </w:rPr>
        <w:t xml:space="preserve">The independent organization certified under Section 39.151 shall provide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any access, information, support, and cooperation that the commission determines is necessary for the monitor to perform the functions described by Subsection (b). The independent organization shall use funds from the fee authorized by Section 39.151(e) to pay for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monitor’s activities.</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 xml:space="preserve">An electric utility, municipally owned utility, or electric cooperative that operates solely outside the ERCOT power region may elect to participate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program or to discontinue participation. The commission shall adopt rules establishing:</w:t>
      </w:r>
    </w:p>
    <w:p>
      <w:pPr>
        <w:keepNext w:val="0"/>
        <w:spacing w:before="120" w:after="0" w:line="300" w:lineRule="atLeast"/>
        <w:ind w:left="1080" w:right="0"/>
        <w:jc w:val="left"/>
      </w:pPr>
      <w:r>
        <w:rPr>
          <w:b/>
        </w:rPr>
        <w:t xml:space="preserve">(1)  </w:t>
      </w:r>
      <w:bookmarkStart w:id="14" w:name="Bookmark__d_1"/>
      <w:bookmarkEnd w:id="14"/>
      <w:r>
        <w:rPr>
          <w:rFonts w:ascii="times" w:eastAsia="times" w:hAnsi="times" w:cs="times"/>
          <w:b w:val="0"/>
          <w:i w:val="0"/>
          <w:strike w:val="0"/>
          <w:noProof w:val="0"/>
          <w:color w:val="000000"/>
          <w:position w:val="0"/>
          <w:sz w:val="24"/>
          <w:u w:val="none"/>
          <w:vertAlign w:val="baseline"/>
        </w:rPr>
        <w:t xml:space="preserve">procedures for an electric utility, municipally owned utility, or electric cooperative to notify the commission, the independent organization certified under Section 39.151,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that the utility or cooperative elects to participate or to discontinue participation; and</w:t>
      </w:r>
    </w:p>
    <w:p>
      <w:pPr>
        <w:keepNext w:val="0"/>
        <w:spacing w:before="120" w:after="0" w:line="300" w:lineRule="atLeast"/>
        <w:ind w:left="1080" w:right="0"/>
        <w:jc w:val="left"/>
      </w:pPr>
      <w:r>
        <w:rPr>
          <w:b/>
        </w:rPr>
        <w:t xml:space="preserve">(2)  </w:t>
      </w:r>
      <w:bookmarkStart w:id="15" w:name="Bookmark__d_2"/>
      <w:bookmarkEnd w:id="15"/>
      <w:r>
        <w:rPr>
          <w:rFonts w:ascii="times" w:eastAsia="times" w:hAnsi="times" w:cs="times"/>
          <w:b w:val="0"/>
          <w:i w:val="0"/>
          <w:strike w:val="0"/>
          <w:noProof w:val="0"/>
          <w:color w:val="000000"/>
          <w:position w:val="0"/>
          <w:sz w:val="24"/>
          <w:u w:val="none"/>
          <w:vertAlign w:val="baseline"/>
        </w:rPr>
        <w:t>a mechanism to require an electric utility, municipally owned utility, or electric cooperative that elects to participate to contribute to the costs incurred by the independent organization under this section.</w:t>
      </w:r>
    </w:p>
    <w:p>
      <w:pPr>
        <w:keepNext w:val="0"/>
        <w:spacing w:before="120" w:after="0" w:line="300" w:lineRule="atLeast"/>
        <w:ind w:left="720" w:right="0"/>
        <w:jc w:val="left"/>
      </w:pPr>
      <w:r>
        <w:rPr>
          <w:b/>
        </w:rPr>
        <w:t xml:space="preserve">(e)  </w:t>
      </w:r>
      <w:bookmarkStart w:id="16" w:name="Bookmark__e"/>
      <w:bookmarkEnd w:id="1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shall operate under the supervision and oversight of the commission.</w:t>
      </w:r>
    </w:p>
    <w:p>
      <w:pPr>
        <w:keepNext w:val="0"/>
        <w:spacing w:before="120" w:after="0" w:line="300" w:lineRule="atLeast"/>
        <w:ind w:left="720" w:right="0"/>
        <w:jc w:val="left"/>
      </w:pPr>
      <w:r>
        <w:rPr>
          <w:b/>
        </w:rPr>
        <w:t xml:space="preserve">(f)  </w:t>
      </w:r>
      <w:bookmarkStart w:id="17" w:name="Bookmark__f"/>
      <w:bookmarkEnd w:id="17"/>
      <w:r>
        <w:rPr>
          <w:rFonts w:ascii="times" w:eastAsia="times" w:hAnsi="times" w:cs="times"/>
          <w:b w:val="0"/>
          <w:i w:val="0"/>
          <w:strike w:val="0"/>
          <w:noProof w:val="0"/>
          <w:color w:val="000000"/>
          <w:position w:val="0"/>
          <w:sz w:val="24"/>
          <w:u w:val="none"/>
          <w:vertAlign w:val="baseline"/>
        </w:rPr>
        <w:t xml:space="preserve">The commission shall adopt rules as necessary to implement this section and may enforce the provisions of this section in the manner provided by this title. This section does not grant enforcement authority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or authorize the commission to delegate the commission’s enforcement authority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This section does not grant enforcement authority to the commission beyond authority explicitly provided for in this title.</w:t>
      </w:r>
    </w:p>
    <w:p>
      <w:pPr>
        <w:keepNext w:val="0"/>
        <w:spacing w:before="120" w:after="0" w:line="300" w:lineRule="atLeast"/>
        <w:ind w:left="720" w:right="0"/>
        <w:jc w:val="left"/>
      </w:pPr>
      <w:r>
        <w:rPr>
          <w:b/>
        </w:rPr>
        <w:t xml:space="preserve">(g)  </w:t>
      </w:r>
      <w:bookmarkStart w:id="18" w:name="Bookmark__g"/>
      <w:bookmarkEnd w:id="18"/>
      <w:r>
        <w:rPr>
          <w:rFonts w:ascii="times" w:eastAsia="times" w:hAnsi="times" w:cs="times"/>
          <w:b w:val="0"/>
          <w:i w:val="0"/>
          <w:strike w:val="0"/>
          <w:noProof w:val="0"/>
          <w:color w:val="000000"/>
          <w:position w:val="0"/>
          <w:sz w:val="24"/>
          <w:u w:val="none"/>
          <w:vertAlign w:val="baseline"/>
        </w:rPr>
        <w:t xml:space="preserve">The staff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monitor may communicate with commission staff about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without restriction. Commission staff shall maintain the confidentiality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Notwithstanding any other law, commission staff may not disclose information obtained under this section in an open meeting or through a response to a public information request.</w:t>
      </w:r>
    </w:p>
    <w:p>
      <w:pPr>
        <w:keepNext w:val="0"/>
        <w:spacing w:before="120" w:after="0" w:line="300" w:lineRule="atLeast"/>
        <w:ind w:left="720" w:right="0"/>
        <w:jc w:val="left"/>
      </w:pPr>
      <w:r>
        <w:rPr>
          <w:b/>
        </w:rPr>
        <w:t xml:space="preserve">(h)  </w:t>
      </w:r>
      <w:bookmarkStart w:id="19" w:name="Bookmark__h"/>
      <w:bookmarkEnd w:id="19"/>
      <w:r>
        <w:rPr>
          <w:rFonts w:ascii="times" w:eastAsia="times" w:hAnsi="times" w:cs="times"/>
          <w:b w:val="0"/>
          <w:i w:val="0"/>
          <w:strike w:val="0"/>
          <w:noProof w:val="0"/>
          <w:color w:val="000000"/>
          <w:position w:val="0"/>
          <w:sz w:val="24"/>
          <w:u w:val="none"/>
          <w:vertAlign w:val="baseline"/>
        </w:rPr>
        <w:t>Information written, produced, collected, assembled, or maintained under Subsection (b), (c), or (g) is confidential and not subject to disclosure under Chapter 552, Government Code. A governmental body is not required to conduct an open meeting under Chapter 551, Government Code, to deliberate a matter described by Subsection (b), (c), or (g).</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610 (S.B. 936), § 3,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Utilities Code § 39.1516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Utilities Code § 39.1516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