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Utah Code Ann. § 63A-16-1102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May 1, 2024 of the 2024 General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Utah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63A Utah Government Operations Code (Chs. 1 — 19)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16 Utah Technology Governance Act (Pts. 1 — 11)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11 Utah Cyber Center (§§ 63A-16-1101 — 63A-16-1102)</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63A-16-1102. Utah Cyber Center — Creation — Duties. [Contingently effective May 1, 2024]</w:t>
      </w:r>
    </w:p>
    <w:p>
      <w:pPr>
        <w:spacing w:line="60" w:lineRule="exact"/>
      </w:pPr>
      <w:r>
        <w:pict>
          <v:line id="_x0000_s1025" style="position:absolute;z-index:251658240" from="0,2pt" to="512pt,2pt" strokecolor="#009ddb" strokeweight="2pt">
            <v:stroke linestyle="single"/>
            <w10:wrap type="topAndBottom"/>
          </v:line>
        </w:pict>
      </w:r>
    </w:p>
    <w:p/>
    <w:p>
      <w:pPr>
        <w:spacing w:before="120" w:line="240" w:lineRule="atLeast"/>
        <w:ind w:left="1080"/>
      </w:pPr>
      <w:r>
        <w:rPr>
          <w:b/>
        </w:rPr>
        <w:t xml:space="preserve">(1)  </w:t>
      </w:r>
      <w:bookmarkStart w:id="1" w:name="Bookmark__1"/>
      <w:bookmarkEnd w:id="1"/>
    </w:p>
    <w:p>
      <w:pPr>
        <w:keepNext w:val="0"/>
        <w:spacing w:before="120" w:after="0" w:line="300" w:lineRule="atLeast"/>
        <w:ind w:left="144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There is created within the division the Utah Cyber Center.</w:t>
      </w:r>
    </w:p>
    <w:p>
      <w:pPr>
        <w:keepNext w:val="0"/>
        <w:spacing w:before="120" w:after="0" w:line="300" w:lineRule="atLeast"/>
        <w:ind w:left="144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The chief information security officer appointed under Section 63A-16-210 shall serve as the director of the Cyber Center.</w:t>
      </w:r>
    </w:p>
    <w:p>
      <w:pPr>
        <w:keepNext w:val="0"/>
        <w:spacing w:before="120" w:after="0" w:line="300" w:lineRule="atLeast"/>
        <w:ind w:left="1080" w:right="0"/>
        <w:jc w:val="left"/>
      </w:pPr>
      <w:r>
        <w:rPr>
          <w:b/>
        </w:rPr>
        <w:t xml:space="preserve">(2)  </w:t>
      </w:r>
      <w:bookmarkStart w:id="4" w:name="Bookmark__2"/>
      <w:bookmarkEnd w:id="4"/>
      <w:r>
        <w:rPr>
          <w:rFonts w:ascii="times" w:eastAsia="times" w:hAnsi="times" w:cs="times"/>
          <w:b w:val="0"/>
          <w:i w:val="0"/>
          <w:strike w:val="0"/>
          <w:noProof w:val="0"/>
          <w:color w:val="000000"/>
          <w:position w:val="0"/>
          <w:sz w:val="24"/>
          <w:u w:val="none"/>
          <w:vertAlign w:val="baseline"/>
        </w:rPr>
        <w:t>The division shall operate the Cyber Center in partnership with the following entities within the Department of Public Safety created in Section 53-1-103:</w:t>
      </w:r>
    </w:p>
    <w:p>
      <w:pPr>
        <w:keepNext w:val="0"/>
        <w:spacing w:before="120" w:after="0" w:line="300" w:lineRule="atLeast"/>
        <w:ind w:left="1440" w:right="0"/>
        <w:jc w:val="left"/>
      </w:pPr>
      <w:r>
        <w:rPr>
          <w:b/>
        </w:rPr>
        <w:t xml:space="preserve">(a)  </w:t>
      </w:r>
      <w:bookmarkStart w:id="5" w:name="Bookmark__2_a"/>
      <w:bookmarkEnd w:id="5"/>
      <w:r>
        <w:rPr>
          <w:rFonts w:ascii="times" w:eastAsia="times" w:hAnsi="times" w:cs="times"/>
          <w:b w:val="0"/>
          <w:i w:val="0"/>
          <w:strike w:val="0"/>
          <w:noProof w:val="0"/>
          <w:color w:val="000000"/>
          <w:position w:val="0"/>
          <w:sz w:val="24"/>
          <w:u w:val="none"/>
          <w:vertAlign w:val="baseline"/>
        </w:rPr>
        <w:t>the Statewide Information and Analysis Center;</w:t>
      </w:r>
    </w:p>
    <w:p>
      <w:pPr>
        <w:keepNext w:val="0"/>
        <w:spacing w:before="120" w:after="0" w:line="300" w:lineRule="atLeast"/>
        <w:ind w:left="1440" w:right="0"/>
        <w:jc w:val="left"/>
      </w:pPr>
      <w:r>
        <w:rPr>
          <w:b/>
        </w:rPr>
        <w:t xml:space="preserve">(b)  </w:t>
      </w:r>
      <w:bookmarkStart w:id="6" w:name="Bookmark__2_b"/>
      <w:bookmarkEnd w:id="6"/>
      <w:r>
        <w:rPr>
          <w:rFonts w:ascii="times" w:eastAsia="times" w:hAnsi="times" w:cs="times"/>
          <w:b w:val="0"/>
          <w:i w:val="0"/>
          <w:strike w:val="0"/>
          <w:noProof w:val="0"/>
          <w:color w:val="000000"/>
          <w:position w:val="0"/>
          <w:sz w:val="24"/>
          <w:u w:val="none"/>
          <w:vertAlign w:val="baseline"/>
        </w:rPr>
        <w:t>the State Bureau of Investigation created in Section 53-10-301; and</w:t>
      </w:r>
    </w:p>
    <w:p>
      <w:pPr>
        <w:keepNext w:val="0"/>
        <w:spacing w:before="120" w:after="0" w:line="300" w:lineRule="atLeast"/>
        <w:ind w:left="1440" w:right="0"/>
        <w:jc w:val="left"/>
      </w:pPr>
      <w:r>
        <w:rPr>
          <w:b/>
        </w:rPr>
        <w:t xml:space="preserve">(c)  </w:t>
      </w:r>
      <w:bookmarkStart w:id="7" w:name="Bookmark__2_c"/>
      <w:bookmarkEnd w:id="7"/>
      <w:r>
        <w:rPr>
          <w:rFonts w:ascii="times" w:eastAsia="times" w:hAnsi="times" w:cs="times"/>
          <w:b w:val="0"/>
          <w:i w:val="0"/>
          <w:strike w:val="0"/>
          <w:noProof w:val="0"/>
          <w:color w:val="000000"/>
          <w:position w:val="0"/>
          <w:sz w:val="24"/>
          <w:u w:val="none"/>
          <w:vertAlign w:val="baseline"/>
        </w:rPr>
        <w:t>the Division of Emergency Management created in Section 53-2a-103.</w:t>
      </w:r>
    </w:p>
    <w:p>
      <w:pPr>
        <w:keepNext w:val="0"/>
        <w:spacing w:before="120" w:after="0" w:line="300" w:lineRule="atLeast"/>
        <w:ind w:left="1080" w:right="0"/>
        <w:jc w:val="left"/>
      </w:pPr>
      <w:r>
        <w:rPr>
          <w:b/>
        </w:rPr>
        <w:t xml:space="preserve">(3)  </w:t>
      </w:r>
      <w:bookmarkStart w:id="8" w:name="Bookmark__3"/>
      <w:bookmarkEnd w:id="8"/>
      <w:r>
        <w:rPr>
          <w:rFonts w:ascii="times" w:eastAsia="times" w:hAnsi="times" w:cs="times"/>
          <w:b w:val="0"/>
          <w:i w:val="0"/>
          <w:strike w:val="0"/>
          <w:noProof w:val="0"/>
          <w:color w:val="000000"/>
          <w:position w:val="0"/>
          <w:sz w:val="24"/>
          <w:u w:val="none"/>
          <w:vertAlign w:val="baseline"/>
        </w:rPr>
        <w:t>In addition to the entities described in Subsection (3), the Cyber Center shall collaborate with:</w:t>
      </w:r>
    </w:p>
    <w:p>
      <w:pPr>
        <w:keepNext w:val="0"/>
        <w:spacing w:before="120" w:after="0" w:line="300" w:lineRule="atLeast"/>
        <w:ind w:left="1440" w:right="0"/>
        <w:jc w:val="left"/>
      </w:pPr>
      <w:r>
        <w:rPr>
          <w:b/>
        </w:rPr>
        <w:t xml:space="preserve">(a)  </w:t>
      </w:r>
      <w:bookmarkStart w:id="9" w:name="Bookmark__3_a"/>
      <w:bookmarkEnd w:id="9"/>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Commission created in Section 63C-27-201;</w:t>
      </w:r>
    </w:p>
    <w:p>
      <w:pPr>
        <w:keepNext w:val="0"/>
        <w:spacing w:before="120" w:after="0" w:line="300" w:lineRule="atLeast"/>
        <w:ind w:left="1440" w:right="0"/>
        <w:jc w:val="left"/>
      </w:pPr>
      <w:r>
        <w:rPr>
          <w:b/>
        </w:rPr>
        <w:t xml:space="preserve">(b)  </w:t>
      </w:r>
      <w:bookmarkStart w:id="10" w:name="Bookmark__3_b"/>
      <w:bookmarkEnd w:id="10"/>
      <w:r>
        <w:rPr>
          <w:rFonts w:ascii="times" w:eastAsia="times" w:hAnsi="times" w:cs="times"/>
          <w:b w:val="0"/>
          <w:i w:val="0"/>
          <w:strike w:val="0"/>
          <w:noProof w:val="0"/>
          <w:color w:val="000000"/>
          <w:position w:val="0"/>
          <w:sz w:val="24"/>
          <w:u w:val="none"/>
          <w:vertAlign w:val="baseline"/>
        </w:rPr>
        <w:t>the Office of the Attorney General;</w:t>
      </w:r>
    </w:p>
    <w:p>
      <w:pPr>
        <w:keepNext w:val="0"/>
        <w:spacing w:before="120" w:after="0" w:line="300" w:lineRule="atLeast"/>
        <w:ind w:left="1440" w:right="0"/>
        <w:jc w:val="left"/>
      </w:pPr>
      <w:r>
        <w:rPr>
          <w:b/>
        </w:rPr>
        <w:t xml:space="preserve">(c)  </w:t>
      </w:r>
      <w:bookmarkStart w:id="11" w:name="Bookmark__3_c"/>
      <w:bookmarkEnd w:id="11"/>
      <w:r>
        <w:rPr>
          <w:rFonts w:ascii="times" w:eastAsia="times" w:hAnsi="times" w:cs="times"/>
          <w:b w:val="0"/>
          <w:i w:val="0"/>
          <w:strike w:val="0"/>
          <w:noProof w:val="0"/>
          <w:color w:val="000000"/>
          <w:position w:val="0"/>
          <w:sz w:val="24"/>
          <w:u w:val="none"/>
          <w:vertAlign w:val="baseline"/>
        </w:rPr>
        <w:t>the Utah Education and Telehealth Network created in Section 53B-17-105;</w:t>
      </w:r>
    </w:p>
    <w:p>
      <w:pPr>
        <w:keepNext w:val="0"/>
        <w:spacing w:before="120" w:after="0" w:line="300" w:lineRule="atLeast"/>
        <w:ind w:left="1440" w:right="0"/>
        <w:jc w:val="left"/>
      </w:pPr>
      <w:r>
        <w:rPr>
          <w:b/>
        </w:rPr>
        <w:t xml:space="preserve">(d)  </w:t>
      </w:r>
      <w:bookmarkStart w:id="12" w:name="Bookmark__3_d"/>
      <w:bookmarkEnd w:id="12"/>
      <w:r>
        <w:rPr>
          <w:rFonts w:ascii="times" w:eastAsia="times" w:hAnsi="times" w:cs="times"/>
          <w:b w:val="0"/>
          <w:i w:val="0"/>
          <w:strike w:val="0"/>
          <w:noProof w:val="0"/>
          <w:color w:val="000000"/>
          <w:position w:val="0"/>
          <w:sz w:val="24"/>
          <w:u w:val="none"/>
          <w:vertAlign w:val="baseline"/>
        </w:rPr>
        <w:t xml:space="preserve">appropriate federal partners, including the Federal Bureau of Investigation and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Infrastructure Security Agency;</w:t>
      </w:r>
    </w:p>
    <w:p>
      <w:pPr>
        <w:keepNext w:val="0"/>
        <w:spacing w:before="120" w:after="0" w:line="300" w:lineRule="atLeast"/>
        <w:ind w:left="1440" w:right="0"/>
        <w:jc w:val="left"/>
      </w:pPr>
      <w:r>
        <w:rPr>
          <w:b/>
        </w:rPr>
        <w:t xml:space="preserve">(e)  </w:t>
      </w:r>
      <w:bookmarkStart w:id="13" w:name="Bookmark__3_e"/>
      <w:bookmarkEnd w:id="13"/>
      <w:r>
        <w:rPr>
          <w:rFonts w:ascii="times" w:eastAsia="times" w:hAnsi="times" w:cs="times"/>
          <w:b w:val="0"/>
          <w:i w:val="0"/>
          <w:strike w:val="0"/>
          <w:noProof w:val="0"/>
          <w:color w:val="000000"/>
          <w:position w:val="0"/>
          <w:sz w:val="24"/>
          <w:u w:val="none"/>
          <w:vertAlign w:val="baseline"/>
        </w:rPr>
        <w:t>appropriate information sharing and analysis centers;</w:t>
      </w:r>
    </w:p>
    <w:p>
      <w:pPr>
        <w:keepNext w:val="0"/>
        <w:spacing w:before="120" w:after="0" w:line="300" w:lineRule="atLeast"/>
        <w:ind w:left="1440" w:right="0"/>
        <w:jc w:val="left"/>
      </w:pPr>
      <w:r>
        <w:rPr>
          <w:b/>
        </w:rPr>
        <w:t xml:space="preserve">(f)  </w:t>
      </w:r>
      <w:bookmarkStart w:id="14" w:name="Bookmark__3_f"/>
      <w:bookmarkEnd w:id="14"/>
      <w:r>
        <w:rPr>
          <w:rFonts w:ascii="times" w:eastAsia="times" w:hAnsi="times" w:cs="times"/>
          <w:b w:val="0"/>
          <w:i w:val="0"/>
          <w:strike w:val="0"/>
          <w:noProof w:val="0"/>
          <w:color w:val="000000"/>
          <w:position w:val="0"/>
          <w:sz w:val="24"/>
          <w:u w:val="none"/>
          <w:vertAlign w:val="baseline"/>
        </w:rPr>
        <w:t xml:space="preserve">information technology directors,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professionals, or equivalent individuals representing political subdivisions in the state; and</w:t>
      </w:r>
    </w:p>
    <w:p>
      <w:pPr>
        <w:keepNext w:val="0"/>
        <w:spacing w:before="120" w:after="0" w:line="300" w:lineRule="atLeast"/>
        <w:ind w:left="1440" w:right="0"/>
        <w:jc w:val="left"/>
      </w:pPr>
      <w:r>
        <w:rPr>
          <w:b/>
        </w:rPr>
        <w:t xml:space="preserve">(g)  </w:t>
      </w:r>
      <w:bookmarkStart w:id="15" w:name="Bookmark__3_g"/>
      <w:bookmarkEnd w:id="15"/>
      <w:r>
        <w:rPr>
          <w:rFonts w:ascii="times" w:eastAsia="times" w:hAnsi="times" w:cs="times"/>
          <w:b w:val="0"/>
          <w:i w:val="0"/>
          <w:strike w:val="0"/>
          <w:noProof w:val="0"/>
          <w:color w:val="000000"/>
          <w:position w:val="0"/>
          <w:sz w:val="24"/>
          <w:u w:val="none"/>
          <w:vertAlign w:val="baseline"/>
        </w:rPr>
        <w:t>any other person the division believes is necessary to carry out the duties described in Subsection (4).</w:t>
      </w:r>
    </w:p>
    <w:p>
      <w:pPr>
        <w:keepNext w:val="0"/>
        <w:spacing w:before="120" w:after="0" w:line="300" w:lineRule="atLeast"/>
        <w:ind w:left="1080" w:right="0"/>
        <w:jc w:val="left"/>
      </w:pPr>
      <w:r>
        <w:rPr>
          <w:b/>
        </w:rPr>
        <w:t xml:space="preserve">(4)  </w:t>
      </w:r>
      <w:bookmarkStart w:id="16" w:name="Bookmark__4"/>
      <w:bookmarkEnd w:id="16"/>
      <w:r>
        <w:rPr>
          <w:rFonts w:ascii="times" w:eastAsia="times" w:hAnsi="times" w:cs="times"/>
          <w:b w:val="0"/>
          <w:i w:val="0"/>
          <w:strike w:val="0"/>
          <w:noProof w:val="0"/>
          <w:color w:val="000000"/>
          <w:position w:val="0"/>
          <w:sz w:val="24"/>
          <w:u w:val="none"/>
          <w:vertAlign w:val="baseline"/>
        </w:rPr>
        <w:t>The Cyber Center shall, within legislative appropriations:</w:t>
      </w:r>
    </w:p>
    <w:p>
      <w:pPr>
        <w:keepNext w:val="0"/>
        <w:spacing w:before="120" w:after="0" w:line="300" w:lineRule="atLeast"/>
        <w:ind w:left="1440" w:right="0"/>
        <w:jc w:val="left"/>
      </w:pPr>
      <w:r>
        <w:rPr>
          <w:b/>
        </w:rPr>
        <w:t xml:space="preserve">(a)  </w:t>
      </w:r>
      <w:bookmarkStart w:id="17" w:name="Bookmark__4_a"/>
      <w:bookmarkEnd w:id="17"/>
      <w:r>
        <w:rPr>
          <w:rFonts w:ascii="times" w:eastAsia="times" w:hAnsi="times" w:cs="times"/>
          <w:b w:val="0"/>
          <w:i w:val="0"/>
          <w:strike w:val="0"/>
          <w:noProof w:val="0"/>
          <w:color w:val="000000"/>
          <w:position w:val="0"/>
          <w:sz w:val="24"/>
          <w:u w:val="none"/>
          <w:vertAlign w:val="baseline"/>
        </w:rPr>
        <w:t xml:space="preserve">by June 30, 2024, develop a statewide strategic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plan for governmental entities;</w:t>
      </w:r>
    </w:p>
    <w:p>
      <w:pPr>
        <w:keepNext w:val="0"/>
        <w:spacing w:before="120" w:after="0" w:line="300" w:lineRule="atLeast"/>
        <w:ind w:left="1440" w:right="0"/>
        <w:jc w:val="left"/>
      </w:pPr>
      <w:r>
        <w:rPr>
          <w:b/>
        </w:rPr>
        <w:t xml:space="preserve">(b)  </w:t>
      </w:r>
      <w:bookmarkStart w:id="18" w:name="Bookmark__4_b"/>
      <w:bookmarkEnd w:id="18"/>
      <w:r>
        <w:rPr>
          <w:rFonts w:ascii="times" w:eastAsia="times" w:hAnsi="times" w:cs="times"/>
          <w:b w:val="0"/>
          <w:i w:val="0"/>
          <w:strike w:val="0"/>
          <w:noProof w:val="0"/>
          <w:color w:val="000000"/>
          <w:position w:val="0"/>
          <w:sz w:val="24"/>
          <w:u w:val="none"/>
          <w:vertAlign w:val="baseline"/>
        </w:rPr>
        <w:t>with respect to executive branch agencies:</w:t>
      </w:r>
    </w:p>
    <w:p>
      <w:pPr>
        <w:keepNext w:val="0"/>
        <w:spacing w:before="120" w:after="0" w:line="300" w:lineRule="atLeast"/>
        <w:ind w:left="1800" w:right="0"/>
        <w:jc w:val="left"/>
      </w:pPr>
      <w:r>
        <w:rPr>
          <w:b/>
        </w:rPr>
        <w:t xml:space="preserve">(i)  </w:t>
      </w:r>
      <w:bookmarkStart w:id="19" w:name="Bookmark__4_b_i"/>
      <w:bookmarkEnd w:id="19"/>
      <w:r>
        <w:rPr>
          <w:rFonts w:ascii="times" w:eastAsia="times" w:hAnsi="times" w:cs="times"/>
          <w:b w:val="0"/>
          <w:i w:val="0"/>
          <w:strike w:val="0"/>
          <w:noProof w:val="0"/>
          <w:color w:val="000000"/>
          <w:position w:val="0"/>
          <w:sz w:val="24"/>
          <w:u w:val="none"/>
          <w:vertAlign w:val="baseline"/>
        </w:rPr>
        <w:t>identify, analyze, and, when appropriate, mitigate cyber threats and vulnerabilities;</w:t>
      </w:r>
    </w:p>
    <w:p>
      <w:pPr>
        <w:keepNext w:val="0"/>
        <w:spacing w:before="120" w:after="0" w:line="300" w:lineRule="atLeast"/>
        <w:ind w:left="1800" w:right="0"/>
        <w:jc w:val="left"/>
      </w:pPr>
      <w:r>
        <w:rPr>
          <w:b/>
        </w:rPr>
        <w:t xml:space="preserve">(ii)  </w:t>
      </w:r>
      <w:bookmarkStart w:id="20" w:name="Bookmark__4_b_ii"/>
      <w:bookmarkEnd w:id="20"/>
      <w:r>
        <w:rPr>
          <w:rFonts w:ascii="times" w:eastAsia="times" w:hAnsi="times" w:cs="times"/>
          <w:b w:val="0"/>
          <w:i w:val="0"/>
          <w:strike w:val="0"/>
          <w:noProof w:val="0"/>
          <w:color w:val="000000"/>
          <w:position w:val="0"/>
          <w:sz w:val="24"/>
          <w:u w:val="none"/>
          <w:vertAlign w:val="baseline"/>
        </w:rPr>
        <w:t xml:space="preserve">coordinate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resilience planning;</w:t>
      </w:r>
    </w:p>
    <w:p>
      <w:pPr>
        <w:keepNext w:val="0"/>
        <w:spacing w:before="120" w:after="0" w:line="300" w:lineRule="atLeast"/>
        <w:ind w:left="1800" w:right="0"/>
        <w:jc w:val="left"/>
      </w:pPr>
      <w:r>
        <w:rPr>
          <w:b/>
        </w:rPr>
        <w:t xml:space="preserve">(iii)  </w:t>
      </w:r>
      <w:bookmarkStart w:id="21" w:name="Bookmark__4_b_iii"/>
      <w:bookmarkEnd w:id="21"/>
      <w:r>
        <w:rPr>
          <w:rFonts w:ascii="times" w:eastAsia="times" w:hAnsi="times" w:cs="times"/>
          <w:b w:val="0"/>
          <w:i w:val="0"/>
          <w:strike w:val="0"/>
          <w:noProof w:val="0"/>
          <w:color w:val="000000"/>
          <w:position w:val="0"/>
          <w:sz w:val="24"/>
          <w:u w:val="none"/>
          <w:vertAlign w:val="baseline"/>
        </w:rPr>
        <w:t xml:space="preserve">provide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response capabilities; and</w:t>
      </w:r>
    </w:p>
    <w:p>
      <w:pPr>
        <w:keepNext w:val="0"/>
        <w:spacing w:before="120" w:after="0" w:line="300" w:lineRule="atLeast"/>
        <w:ind w:left="1800" w:right="0"/>
        <w:jc w:val="left"/>
      </w:pPr>
      <w:r>
        <w:rPr>
          <w:b/>
        </w:rPr>
        <w:t xml:space="preserve">(iv)  </w:t>
      </w:r>
      <w:bookmarkStart w:id="22" w:name="Bookmark__4_b_iv"/>
      <w:bookmarkEnd w:id="22"/>
      <w:r>
        <w:rPr>
          <w:rFonts w:ascii="times" w:eastAsia="times" w:hAnsi="times" w:cs="times"/>
          <w:b w:val="0"/>
          <w:i w:val="0"/>
          <w:strike w:val="0"/>
          <w:noProof w:val="0"/>
          <w:color w:val="000000"/>
          <w:position w:val="0"/>
          <w:sz w:val="24"/>
          <w:u w:val="none"/>
          <w:vertAlign w:val="baseline"/>
        </w:rPr>
        <w:t>recommend to the division standards, policies, or procedures to increase the cyber resilience of executive branch agencies individually or collectively;</w:t>
      </w:r>
    </w:p>
    <w:p>
      <w:pPr>
        <w:keepNext w:val="0"/>
        <w:spacing w:before="120" w:after="0" w:line="300" w:lineRule="atLeast"/>
        <w:ind w:left="1440" w:right="0"/>
        <w:jc w:val="left"/>
      </w:pPr>
      <w:r>
        <w:rPr>
          <w:b/>
        </w:rPr>
        <w:t xml:space="preserve">(c)  </w:t>
      </w:r>
      <w:bookmarkStart w:id="23" w:name="Bookmark__4_c"/>
      <w:bookmarkEnd w:id="23"/>
      <w:r>
        <w:rPr>
          <w:rFonts w:ascii="times" w:eastAsia="times" w:hAnsi="times" w:cs="times"/>
          <w:b w:val="0"/>
          <w:i w:val="0"/>
          <w:strike w:val="0"/>
          <w:noProof w:val="0"/>
          <w:color w:val="000000"/>
          <w:position w:val="0"/>
          <w:sz w:val="24"/>
          <w:u w:val="none"/>
          <w:vertAlign w:val="baseline"/>
        </w:rPr>
        <w:t xml:space="preserve">at the request of a governmental entity, coordinate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response for a data breach affecting the governmental entity in accordance with Section 63a-16-1103;</w:t>
      </w:r>
    </w:p>
    <w:p>
      <w:pPr>
        <w:keepNext w:val="0"/>
        <w:spacing w:before="120" w:after="0" w:line="300" w:lineRule="atLeast"/>
        <w:ind w:left="1440" w:right="0"/>
        <w:jc w:val="left"/>
      </w:pPr>
      <w:r>
        <w:rPr>
          <w:b/>
        </w:rPr>
        <w:t xml:space="preserve">(d)  </w:t>
      </w:r>
      <w:bookmarkStart w:id="24" w:name="Bookmark__4_d"/>
      <w:bookmarkEnd w:id="24"/>
      <w:r>
        <w:rPr>
          <w:rFonts w:ascii="times" w:eastAsia="times" w:hAnsi="times" w:cs="times"/>
          <w:b w:val="0"/>
          <w:i w:val="0"/>
          <w:strike w:val="0"/>
          <w:noProof w:val="0"/>
          <w:color w:val="000000"/>
          <w:position w:val="0"/>
          <w:sz w:val="24"/>
          <w:u w:val="none"/>
          <w:vertAlign w:val="baseline"/>
        </w:rPr>
        <w:t xml:space="preserve">promote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best practices;</w:t>
      </w:r>
    </w:p>
    <w:p>
      <w:pPr>
        <w:keepNext w:val="0"/>
        <w:spacing w:before="120" w:after="0" w:line="300" w:lineRule="atLeast"/>
        <w:ind w:left="1440" w:right="0"/>
        <w:jc w:val="left"/>
      </w:pPr>
      <w:r>
        <w:rPr>
          <w:b/>
        </w:rPr>
        <w:t xml:space="preserve">(e)  </w:t>
      </w:r>
      <w:bookmarkStart w:id="25" w:name="Bookmark__4_e"/>
      <w:bookmarkEnd w:id="25"/>
      <w:r>
        <w:rPr>
          <w:rFonts w:ascii="times" w:eastAsia="times" w:hAnsi="times" w:cs="times"/>
          <w:b w:val="0"/>
          <w:i w:val="0"/>
          <w:strike w:val="0"/>
          <w:noProof w:val="0"/>
          <w:color w:val="000000"/>
          <w:position w:val="0"/>
          <w:sz w:val="24"/>
          <w:u w:val="none"/>
          <w:vertAlign w:val="baseline"/>
        </w:rPr>
        <w:t>share cyber threat intelligence with governmental entities and, through the Statewide Information and Analysis Center, with other public and private sector organizations;</w:t>
      </w:r>
    </w:p>
    <w:p>
      <w:pPr>
        <w:keepNext w:val="0"/>
        <w:spacing w:before="120" w:after="0" w:line="300" w:lineRule="atLeast"/>
        <w:ind w:left="1440" w:right="0"/>
        <w:jc w:val="left"/>
      </w:pPr>
      <w:r>
        <w:rPr>
          <w:b/>
        </w:rPr>
        <w:t xml:space="preserve">(f)  </w:t>
      </w:r>
      <w:bookmarkStart w:id="26" w:name="Bookmark__4_f"/>
      <w:bookmarkEnd w:id="26"/>
      <w:r>
        <w:rPr>
          <w:rFonts w:ascii="times" w:eastAsia="times" w:hAnsi="times" w:cs="times"/>
          <w:b w:val="0"/>
          <w:i w:val="0"/>
          <w:strike w:val="0"/>
          <w:noProof w:val="0"/>
          <w:color w:val="000000"/>
          <w:position w:val="0"/>
          <w:sz w:val="24"/>
          <w:u w:val="none"/>
          <w:vertAlign w:val="baseline"/>
        </w:rPr>
        <w:t xml:space="preserve">serve as the state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response repository to receive reports of breaches of system security, including notification or disclosure under Section 13-44-202 and data breaches under Section 63A-16-1103;</w:t>
      </w:r>
    </w:p>
    <w:p>
      <w:pPr>
        <w:keepNext w:val="0"/>
        <w:spacing w:before="120" w:after="0" w:line="300" w:lineRule="atLeast"/>
        <w:ind w:left="1440" w:right="0"/>
        <w:jc w:val="left"/>
      </w:pPr>
      <w:r>
        <w:rPr>
          <w:b/>
        </w:rPr>
        <w:t xml:space="preserve">(g)  </w:t>
      </w:r>
      <w:bookmarkStart w:id="27" w:name="Bookmark__4_g"/>
      <w:bookmarkEnd w:id="27"/>
      <w:r>
        <w:rPr>
          <w:rFonts w:ascii="times" w:eastAsia="times" w:hAnsi="times" w:cs="times"/>
          <w:b w:val="0"/>
          <w:i w:val="0"/>
          <w:strike w:val="0"/>
          <w:noProof w:val="0"/>
          <w:color w:val="000000"/>
          <w:position w:val="0"/>
          <w:sz w:val="24"/>
          <w:u w:val="none"/>
          <w:vertAlign w:val="baseline"/>
        </w:rPr>
        <w:t>develop incident response plans to coordinate federal, state, local, and private sector activities and manage the risks associated with an attack or malfunction of critical information technology systems within the state;</w:t>
      </w:r>
    </w:p>
    <w:p>
      <w:pPr>
        <w:keepNext w:val="0"/>
        <w:spacing w:before="120" w:after="0" w:line="300" w:lineRule="atLeast"/>
        <w:ind w:left="1440" w:right="0"/>
        <w:jc w:val="left"/>
      </w:pPr>
      <w:r>
        <w:rPr>
          <w:b/>
        </w:rPr>
        <w:t xml:space="preserve">(h)  </w:t>
      </w:r>
      <w:bookmarkStart w:id="28" w:name="Bookmark__4_h"/>
      <w:bookmarkEnd w:id="28"/>
      <w:r>
        <w:rPr>
          <w:rFonts w:ascii="times" w:eastAsia="times" w:hAnsi="times" w:cs="times"/>
          <w:b w:val="0"/>
          <w:i w:val="0"/>
          <w:strike w:val="0"/>
          <w:noProof w:val="0"/>
          <w:color w:val="000000"/>
          <w:position w:val="0"/>
          <w:sz w:val="24"/>
          <w:u w:val="none"/>
          <w:vertAlign w:val="baseline"/>
        </w:rPr>
        <w:t xml:space="preserve">coordinate, develop, and share best practices for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resilience in the state;</w:t>
      </w:r>
    </w:p>
    <w:p>
      <w:pPr>
        <w:keepNext w:val="0"/>
        <w:spacing w:before="120" w:after="0" w:line="300" w:lineRule="atLeast"/>
        <w:ind w:left="1440" w:right="0"/>
        <w:jc w:val="left"/>
      </w:pPr>
      <w:r>
        <w:rPr>
          <w:b/>
        </w:rPr>
        <w:t xml:space="preserve">(i)  </w:t>
      </w:r>
      <w:bookmarkStart w:id="29" w:name="Bookmark__4_i"/>
      <w:bookmarkEnd w:id="29"/>
      <w:r>
        <w:rPr>
          <w:rFonts w:ascii="times" w:eastAsia="times" w:hAnsi="times" w:cs="times"/>
          <w:b w:val="0"/>
          <w:i w:val="0"/>
          <w:strike w:val="0"/>
          <w:noProof w:val="0"/>
          <w:color w:val="000000"/>
          <w:position w:val="0"/>
          <w:sz w:val="24"/>
          <w:u w:val="none"/>
          <w:vertAlign w:val="baseline"/>
        </w:rPr>
        <w:t xml:space="preserve">identify sources of funding to make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improvements throughout the state;</w:t>
      </w:r>
    </w:p>
    <w:p>
      <w:pPr>
        <w:keepNext w:val="0"/>
        <w:spacing w:before="120" w:after="0" w:line="300" w:lineRule="atLeast"/>
        <w:ind w:left="1440" w:right="0"/>
        <w:jc w:val="left"/>
      </w:pPr>
      <w:r>
        <w:rPr>
          <w:b/>
        </w:rPr>
        <w:t xml:space="preserve">(j)  </w:t>
      </w:r>
      <w:bookmarkStart w:id="30" w:name="Bookmark__4_j"/>
      <w:bookmarkEnd w:id="30"/>
      <w:r>
        <w:rPr>
          <w:rFonts w:ascii="times" w:eastAsia="times" w:hAnsi="times" w:cs="times"/>
          <w:b w:val="0"/>
          <w:i w:val="0"/>
          <w:strike w:val="0"/>
          <w:noProof w:val="0"/>
          <w:color w:val="000000"/>
          <w:position w:val="0"/>
          <w:sz w:val="24"/>
          <w:u w:val="none"/>
          <w:vertAlign w:val="baseline"/>
        </w:rPr>
        <w:t>develop a sharing platform to provide resources based on information, recommendations, and best practices; and</w:t>
      </w:r>
    </w:p>
    <w:p>
      <w:pPr>
        <w:keepNext w:val="0"/>
        <w:spacing w:before="120" w:after="0" w:line="300" w:lineRule="atLeast"/>
        <w:ind w:left="1440" w:right="0"/>
        <w:jc w:val="left"/>
      </w:pPr>
      <w:r>
        <w:rPr>
          <w:b/>
        </w:rPr>
        <w:t xml:space="preserve">(k)  </w:t>
      </w:r>
      <w:bookmarkStart w:id="31" w:name="Bookmark__4_k"/>
      <w:bookmarkEnd w:id="31"/>
      <w:r>
        <w:rPr>
          <w:rFonts w:ascii="times" w:eastAsia="times" w:hAnsi="times" w:cs="times"/>
          <w:b w:val="0"/>
          <w:i w:val="0"/>
          <w:strike w:val="0"/>
          <w:noProof w:val="0"/>
          <w:color w:val="000000"/>
          <w:position w:val="0"/>
          <w:sz w:val="24"/>
          <w:u w:val="none"/>
          <w:vertAlign w:val="baseline"/>
        </w:rPr>
        <w:t>partner with institutions of higher education and other public and private sector organizations to increase the state’s cyber resilience.</w:t>
      </w:r>
    </w:p>
    <w:p>
      <w:pPr>
        <w:keepNext/>
        <w:spacing w:before="240" w:after="0" w:line="340" w:lineRule="atLeast"/>
        <w:ind w:left="0" w:right="0" w:firstLine="0"/>
        <w:jc w:val="left"/>
      </w:pPr>
      <w:bookmarkStart w:id="32" w:name="History"/>
      <w:bookmarkEnd w:id="32"/>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Contingently enacted by 2023 ch. 496, § 3, effective May 3, 2023; contingently amended by 2024 ch. 417, § 23(1), effective May 1, 2024.</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Utah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Utah Code Ann. § 63A-16-1102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Utah Code Ann. § 63A-16-1102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11</vt:lpwstr>
  </property>
  <property fmtid="{D5CDD505-2E9C-101B-9397-08002B2CF9AE}" pid="3" name="LADocCount">
    <vt:lpwstr>1</vt:lpwstr>
  </property>
  <property fmtid="{D5CDD505-2E9C-101B-9397-08002B2CF9AE}" pid="4" name="LADocumentID:11">
    <vt:lpwstr>Doc::urn:hlct:15|contextualFeaturePermID::1519360</vt:lpwstr>
  </property>
  <property fmtid="{D5CDD505-2E9C-101B-9397-08002B2CF9AE}" pid="5" name="UserPermID">
    <vt:lpwstr>urn:user:PA186163333</vt:lpwstr>
  </property>
</Properties>
</file>