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18.2-152.5:1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5. Crimes Against Property.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7.1. Computer Crimes. (§§ 18.2-152.1 — 18.2-152.16)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18.2-152.5:1.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Using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to gather identifying information;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is unlawful for any person, other than a law-enforcement officer, as defined in § 9.1-101, and acting in the performance of his official duties,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obtain, access, or record, through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material artifice, trickery or deception, any identifying information, as defined in clauses (iii) through (xiii) of subsection C of § 18.2-186.3. Any person who violates this section is guilty of a Class 6 felony.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person who violates this section and sells or distributes such information to another is guilty of a Class 5 felony.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violates this section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such information in the commission of another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guilty of a Class 5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2005, cc. 747, 760, 761, 827, 837.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18.2-152.5:1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18.2-152.5:1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