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38.2-625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38.2. Insurance. (Chs. 1 — 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Insurance Information and Privacy Protection.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Insurance Data Security Act. (§§ 38.2-621 — 38.2-629)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38.2-625. Notice to Commissioner.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If a licensee has determined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actually occurred, such licensee shall notify the Commissioner, in accordance with requirements prescribed by the Commission, as promptly as possible but in no event later than three business days from such determination if:</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licensee is a domestic insurance company, or in the case of a producer, the Commonwealth is the licensee’s home state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meets threshold and other requirements prescribed by the Commission;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involved is of 250 or more consumers residing in the Commonwealth or the licensee is required under federal law or the laws of another state to provide notice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any government body, self-regulatory agency, or other supervisory body.</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Notice provided pursuant to this section shall be in electronic form and shall include as much of the following information as possible:</w:t>
      </w:r>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A description of how the nonpublic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3.  </w:t>
      </w:r>
      <w:bookmarkStart w:id="7" w:name="Bookmark__b_3"/>
      <w:bookmarkEnd w:id="7"/>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4.  </w:t>
      </w:r>
      <w:bookmarkStart w:id="8" w:name="Bookmark__b_4"/>
      <w:bookmarkEnd w:id="8"/>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5.  </w:t>
      </w:r>
      <w:bookmarkStart w:id="9" w:name="Bookmark__b_5"/>
      <w:bookmarkEnd w:id="9"/>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6.  </w:t>
      </w:r>
      <w:bookmarkStart w:id="10" w:name="Bookmark__b_6"/>
      <w:bookmarkEnd w:id="10"/>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law-enforcement agencies and, if so, when such notification was provided;</w:t>
      </w:r>
    </w:p>
    <w:p>
      <w:pPr>
        <w:keepNext w:val="0"/>
        <w:spacing w:before="120" w:after="0" w:line="300" w:lineRule="atLeast"/>
        <w:ind w:left="1080" w:right="0"/>
        <w:jc w:val="left"/>
      </w:pPr>
      <w:r>
        <w:rPr>
          <w:b/>
        </w:rPr>
        <w:t xml:space="preserve">7.  </w:t>
      </w:r>
      <w:bookmarkStart w:id="11" w:name="Bookmark__b_7"/>
      <w:bookmarkEnd w:id="11"/>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Specific types of information include particular data elements such as medical information, financial information, or other information allowing identification of the consumer;</w:t>
      </w:r>
    </w:p>
    <w:p>
      <w:pPr>
        <w:keepNext w:val="0"/>
        <w:spacing w:before="120" w:after="0" w:line="300" w:lineRule="atLeast"/>
        <w:ind w:left="1080" w:right="0"/>
        <w:jc w:val="left"/>
      </w:pPr>
      <w:r>
        <w:rPr>
          <w:b/>
        </w:rPr>
        <w:t xml:space="preserve">8.  </w:t>
      </w:r>
      <w:bookmarkStart w:id="12" w:name="Bookmark__b_8"/>
      <w:bookmarkEnd w:id="12"/>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13" w:name="Bookmark__b_9"/>
      <w:bookmarkEnd w:id="13"/>
      <w:r>
        <w:rPr>
          <w:rFonts w:ascii="times" w:eastAsia="times" w:hAnsi="times" w:cs="times"/>
          <w:b w:val="0"/>
          <w:i w:val="0"/>
          <w:strike w:val="0"/>
          <w:noProof w:val="0"/>
          <w:color w:val="000000"/>
          <w:position w:val="0"/>
          <w:sz w:val="24"/>
          <w:u w:val="none"/>
          <w:vertAlign w:val="baseline"/>
        </w:rPr>
        <w:t xml:space="preserve">The number of consumers in the Commonwealth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Commissioner and update this estimate with each subsequent report to the Commissioner pursuant to this section;</w:t>
      </w:r>
    </w:p>
    <w:p>
      <w:pPr>
        <w:keepNext w:val="0"/>
        <w:spacing w:before="120" w:after="0" w:line="300" w:lineRule="atLeast"/>
        <w:ind w:left="1080" w:right="0"/>
        <w:jc w:val="left"/>
      </w:pPr>
      <w:r>
        <w:rPr>
          <w:b/>
        </w:rPr>
        <w:t xml:space="preserve">10.  </w:t>
      </w:r>
      <w:bookmarkStart w:id="14" w:name="Bookmark__b_10"/>
      <w:bookmarkEnd w:id="14"/>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11.  </w:t>
      </w:r>
      <w:bookmarkStart w:id="15" w:name="Bookmark__b_11"/>
      <w:bookmarkEnd w:id="15"/>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12.  </w:t>
      </w:r>
      <w:bookmarkStart w:id="16" w:name="Bookmark__b_12"/>
      <w:bookmarkEnd w:id="16"/>
      <w:r>
        <w:rPr>
          <w:rFonts w:ascii="times" w:eastAsia="times" w:hAnsi="times" w:cs="times"/>
          <w:b w:val="0"/>
          <w:i w:val="0"/>
          <w:strike w:val="0"/>
          <w:noProof w:val="0"/>
          <w:color w:val="000000"/>
          <w:position w:val="0"/>
          <w:sz w:val="24"/>
          <w:u w:val="none"/>
          <w:vertAlign w:val="baseline"/>
        </w:rPr>
        <w:t xml:space="preserve">A copy of the licensee’s consumer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13.  </w:t>
      </w:r>
      <w:bookmarkStart w:id="17" w:name="Bookmark__b_13"/>
      <w:bookmarkEnd w:id="17"/>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C.  </w:t>
      </w:r>
      <w:bookmarkStart w:id="18" w:name="Bookmark__c"/>
      <w:bookmarkEnd w:id="18"/>
      <w:r>
        <w:rPr>
          <w:rFonts w:ascii="times" w:eastAsia="times" w:hAnsi="times" w:cs="times"/>
          <w:b w:val="0"/>
          <w:i w:val="0"/>
          <w:strike w:val="0"/>
          <w:noProof w:val="0"/>
          <w:color w:val="000000"/>
          <w:position w:val="0"/>
          <w:sz w:val="24"/>
          <w:u w:val="none"/>
          <w:vertAlign w:val="baseline"/>
        </w:rPr>
        <w:t xml:space="preserve">A licensee shall have a continuing obligation to update and supplement initial and subsequent notifications to the Commissioner concerning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D.  </w:t>
      </w:r>
      <w:bookmarkStart w:id="19" w:name="Bookmark__d"/>
      <w:bookmarkEnd w:id="19"/>
      <w:r>
        <w:rPr>
          <w:rFonts w:ascii="times" w:eastAsia="times" w:hAnsi="times" w:cs="times"/>
          <w:b w:val="0"/>
          <w:i w:val="0"/>
          <w:strike w:val="0"/>
          <w:noProof w:val="0"/>
          <w:color w:val="000000"/>
          <w:position w:val="0"/>
          <w:sz w:val="24"/>
          <w:u w:val="none"/>
          <w:vertAlign w:val="baseline"/>
        </w:rPr>
        <w:t>Each licensee shall notify consumers in compliance with § 38.2-626, and provide a copy of the notice sent to consumers under such section to the Commissioner, when a licensee is required to notify the Commissioner under this section.</w:t>
      </w:r>
    </w:p>
    <w:p>
      <w:pPr>
        <w:keepNext w:val="0"/>
        <w:spacing w:before="120" w:after="0" w:line="300" w:lineRule="atLeast"/>
        <w:ind w:left="720" w:right="0"/>
        <w:jc w:val="left"/>
      </w:pPr>
      <w:r>
        <w:rPr>
          <w:b/>
        </w:rPr>
        <w:t xml:space="preserve">E.  </w:t>
      </w:r>
      <w:bookmarkStart w:id="20" w:name="Bookmark__e"/>
      <w:bookmarkEnd w:id="20"/>
      <w:r>
        <w:rPr>
          <w:rFonts w:ascii="times" w:eastAsia="times" w:hAnsi="times" w:cs="times"/>
          <w:b w:val="0"/>
          <w:i w:val="0"/>
          <w:strike w:val="0"/>
          <w:noProof w:val="0"/>
          <w:color w:val="000000"/>
          <w:position w:val="0"/>
          <w:sz w:val="24"/>
          <w:u w:val="none"/>
          <w:vertAlign w:val="baseline"/>
        </w:rPr>
        <w:t xml:space="preserve">If there is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the licensee, once it has become aware of such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shall treat such event as it would under this section, unless the third-party service provider provides notice in accordance with this section. The computation of a licensee’s deadlines shall begin on the day after the third-party service provider notifies a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720" w:right="0"/>
        <w:jc w:val="left"/>
      </w:pPr>
      <w:r>
        <w:rPr>
          <w:b/>
        </w:rPr>
        <w:t xml:space="preserve">F.  </w:t>
      </w:r>
      <w:bookmarkStart w:id="21" w:name="Bookmark__f"/>
      <w:bookmarkEnd w:id="21"/>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nonpublic information that is used by a licensee that is acting as an assuming insurer or is in the possession, control, or custody of a licensee that is acting as an assuming insurer or its third-party service provider and the licensee does not have a direct contractual relationship with the affected consumers, the licensee shall notify its affected ceding insurers and the head of its supervisory state agency of its state of domicile within three business days of making the determination or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Ceding insurers that have a direct contractual relationship with affected consumers shall fulfill the consumer notification requirements imposed under § 38.2-626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720" w:right="0"/>
        <w:jc w:val="left"/>
      </w:pPr>
      <w:r>
        <w:rPr>
          <w:b/>
        </w:rPr>
        <w:t xml:space="preserve">G.  </w:t>
      </w:r>
      <w:bookmarkStart w:id="22" w:name="Bookmark__g"/>
      <w:bookmarkEnd w:id="22"/>
      <w:r>
        <w:rPr>
          <w:rFonts w:ascii="times" w:eastAsia="times" w:hAnsi="times" w:cs="times"/>
          <w:b w:val="0"/>
          <w:i w:val="0"/>
          <w:strike w:val="0"/>
          <w:noProof w:val="0"/>
          <w:color w:val="000000"/>
          <w:position w:val="0"/>
          <w:sz w:val="24"/>
          <w:u w:val="none"/>
          <w:vertAlign w:val="baseline"/>
        </w:rPr>
        <w:t xml:space="preserve">If there is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and for which a consumer accessed the insurer’s services through an independent insurance producer, the insurer shall notify the producers of record of all affected consumers as soon as practicable as directed by the Commissioner. The insurer is excused from this obligation for those instances in which it does not have the current producer of record information for any individual consumer.</w:t>
      </w:r>
    </w:p>
    <w:p>
      <w:pPr>
        <w:keepNext w:val="0"/>
        <w:spacing w:before="120" w:after="0" w:line="300" w:lineRule="atLeast"/>
        <w:ind w:left="720" w:right="0"/>
        <w:jc w:val="left"/>
      </w:pPr>
      <w:r>
        <w:rPr>
          <w:b/>
        </w:rPr>
        <w:t xml:space="preserve">H.  </w:t>
      </w:r>
      <w:bookmarkStart w:id="23" w:name="Bookmark__h"/>
      <w:bookmarkEnd w:id="23"/>
      <w:r>
        <w:rPr>
          <w:rFonts w:ascii="times" w:eastAsia="times" w:hAnsi="times" w:cs="times"/>
          <w:b w:val="0"/>
          <w:i w:val="0"/>
          <w:strike w:val="0"/>
          <w:noProof w:val="0"/>
          <w:color w:val="000000"/>
          <w:position w:val="0"/>
          <w:sz w:val="24"/>
          <w:u w:val="none"/>
          <w:vertAlign w:val="baseline"/>
        </w:rPr>
        <w:t>Nothing in this article shall prevent or abrogate an agreement between a licensee and another licensee, a third-party service provider, or any other party to fulfill any of the investigation requirements imposed under § 38.2-624 or notice requirements imposed under this section.</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 264.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38.2-625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38.2-625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