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19.255.020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19 Business Regulations — Miscellaneous (Chs. 19.02 — Chapter 19.410)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19.255 Personal Information — Notice of Security </w:t>
      </w:r>
      <w:r>
        <w:rPr>
          <w:rFonts w:ascii="times" w:eastAsia="times" w:hAnsi="times" w:cs="times"/>
          <w:b/>
          <w:i/>
          <w:strike w:val="0"/>
          <w:noProof w:val="0"/>
          <w:color w:val="000000"/>
          <w:position w:val="0"/>
          <w:sz w:val="22"/>
          <w:u w:val="none"/>
          <w:vertAlign w:val="baseline"/>
        </w:rPr>
        <w:t>Breaches</w:t>
      </w:r>
      <w:r>
        <w:rPr>
          <w:rFonts w:ascii="times" w:eastAsia="times" w:hAnsi="times" w:cs="times"/>
          <w:b/>
          <w:i/>
          <w:strike w:val="0"/>
          <w:noProof w:val="0"/>
          <w:color w:val="000000"/>
          <w:position w:val="0"/>
          <w:sz w:val="22"/>
          <w:u w:val="none"/>
          <w:vertAlign w:val="baseline"/>
        </w:rPr>
        <w:t xml:space="preserve"> (§§ 19.255.005 — 19.255.040)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19.255.020. Liability of processors, businesses, and vendors.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For purposes of this section: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“Account information” means: (i) The full, unencrypted magnetic stripe of a credit card or debit card; (ii) the full, unencrypted account information contained on an identification device as defined under RCW 19.300.010; or (iii) the unencrypted primary account number on a credit card or debit card or identification device, plus any of the following if not encrypted: Cardholder name, expiration date, or service code.</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has the same meaning as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in RCW 19.255.010.</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“Business” means an individual, partnership, corporation, association, organization, government entity, or any other legal or commercial entity that processes more than six million credit card and debit card transactions annually, and who provides, offers, or sells goods or services to persons who are residents of Washington.</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“Credit card” has the same meaning as in RCW 9A.56.280.</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“Debit card” has the same meaning as in RCW 9A.56.280 and for the purposes of this section, includes a payroll debit card.</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 xml:space="preserve">“Encrypted” means enciphered or encoded using standards reasonable for the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business or processor taking into account the business or processor’s size and the number of transactions processed annually.</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“Financial institution” has the same meaning as in *RCW 30.22.040.</w:t>
      </w:r>
    </w:p>
    <w:p>
      <w:pPr>
        <w:keepNext w:val="0"/>
        <w:spacing w:before="120" w:after="0" w:line="300" w:lineRule="atLeast"/>
        <w:ind w:left="1080" w:right="0"/>
        <w:jc w:val="left"/>
      </w:pPr>
      <w:r>
        <w:rPr>
          <w:b/>
        </w:rPr>
        <w:t xml:space="preserve">(h)  </w:t>
      </w:r>
      <w:bookmarkStart w:id="9" w:name="Bookmark__1_h"/>
      <w:bookmarkEnd w:id="9"/>
      <w:r>
        <w:rPr>
          <w:rFonts w:ascii="times" w:eastAsia="times" w:hAnsi="times" w:cs="times"/>
          <w:b w:val="0"/>
          <w:i w:val="0"/>
          <w:strike w:val="0"/>
          <w:noProof w:val="0"/>
          <w:color w:val="000000"/>
          <w:position w:val="0"/>
          <w:sz w:val="24"/>
          <w:u w:val="none"/>
          <w:vertAlign w:val="baseline"/>
        </w:rPr>
        <w:t>“Processor” means an individual, partnership, corporation, association, organization, government entity, or any other legal or commercial entity, other than a business as defined under this section, that directly processes or transmits account information for or on behalf of another person as part of a payment processing service.</w:t>
      </w:r>
    </w:p>
    <w:p>
      <w:pPr>
        <w:keepNext w:val="0"/>
        <w:spacing w:before="120" w:after="0" w:line="300" w:lineRule="atLeast"/>
        <w:ind w:left="1080" w:right="0"/>
        <w:jc w:val="left"/>
      </w:pPr>
      <w:r>
        <w:rPr>
          <w:b/>
        </w:rPr>
        <w:t xml:space="preserve">(i)  </w:t>
      </w:r>
      <w:bookmarkStart w:id="10" w:name="Bookmark__1_i"/>
      <w:bookmarkEnd w:id="10"/>
      <w:r>
        <w:rPr>
          <w:rFonts w:ascii="times" w:eastAsia="times" w:hAnsi="times" w:cs="times"/>
          <w:b w:val="0"/>
          <w:i w:val="0"/>
          <w:strike w:val="0"/>
          <w:noProof w:val="0"/>
          <w:color w:val="000000"/>
          <w:position w:val="0"/>
          <w:sz w:val="24"/>
          <w:u w:val="none"/>
          <w:vertAlign w:val="baseline"/>
        </w:rPr>
        <w:t>“Service code” means the three or four digit number in the magnetic stripe or on a credit card or debit card that is used to specify acceptance requirements or to validate the card.</w:t>
      </w:r>
    </w:p>
    <w:p>
      <w:pPr>
        <w:keepNext w:val="0"/>
        <w:spacing w:before="120" w:after="0" w:line="300" w:lineRule="atLeast"/>
        <w:ind w:left="1080" w:right="0"/>
        <w:jc w:val="left"/>
      </w:pPr>
      <w:r>
        <w:rPr>
          <w:b/>
        </w:rPr>
        <w:t xml:space="preserve">(j)  </w:t>
      </w:r>
      <w:bookmarkStart w:id="11" w:name="Bookmark__1_j"/>
      <w:bookmarkEnd w:id="11"/>
      <w:r>
        <w:rPr>
          <w:rFonts w:ascii="times" w:eastAsia="times" w:hAnsi="times" w:cs="times"/>
          <w:b w:val="0"/>
          <w:i w:val="0"/>
          <w:strike w:val="0"/>
          <w:noProof w:val="0"/>
          <w:color w:val="000000"/>
          <w:position w:val="0"/>
          <w:sz w:val="24"/>
          <w:u w:val="none"/>
          <w:vertAlign w:val="baseline"/>
        </w:rPr>
        <w:t>“Vendor” means an individual, partnership, corporation, association, organization, government entity, or any other legal or commercial entity that manufactures and sells software or equipment that is designed to process, transmit, or store account information or that maintains account information that it does not own.</w:t>
      </w:r>
    </w:p>
    <w:p>
      <w:pPr>
        <w:keepNext w:val="0"/>
        <w:spacing w:before="120" w:after="0" w:line="300" w:lineRule="atLeast"/>
        <w:ind w:left="720" w:right="0"/>
        <w:jc w:val="left"/>
      </w:pPr>
      <w:r>
        <w:rPr>
          <w:b/>
        </w:rPr>
        <w:t xml:space="preserve">(2)  </w:t>
      </w:r>
      <w:bookmarkStart w:id="12" w:name="Bookmark__2"/>
      <w:bookmarkEnd w:id="12"/>
      <w:r>
        <w:rPr>
          <w:rFonts w:ascii="times" w:eastAsia="times" w:hAnsi="times" w:cs="times"/>
          <w:b w:val="0"/>
          <w:i w:val="0"/>
          <w:strike w:val="0"/>
          <w:noProof w:val="0"/>
          <w:color w:val="000000"/>
          <w:position w:val="0"/>
          <w:sz w:val="24"/>
          <w:u w:val="none"/>
          <w:vertAlign w:val="baseline"/>
        </w:rPr>
        <w:t xml:space="preserve">Processors, businesses, and vendors are not liable under this section if (a) the account information was encrypted at the time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(b) the processor, business, or vendor was certified compliant with the payment card industry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standards adopted by the payment card industry security standards council, and in force at the time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 processor, business, or vendor will be considered compliant, if its payment card industry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compliance was validated by an annual security assessment, and if this assessment took place no more than one year prior to the time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For the purposes of this subsection (2), a processor, business, or vendor’s security assessment of compliance is nonrevocable. The nonrevocability of a processor, business, or vendor’s security assessment of compliance is only for the purpose of determining a processor, business, or vendor’s liability under this subsection (2).</w:t>
      </w:r>
    </w:p>
    <w:p>
      <w:pPr>
        <w:spacing w:before="120" w:line="240" w:lineRule="atLeast"/>
        <w:ind w:left="720"/>
      </w:pPr>
      <w:r>
        <w:rPr>
          <w:b/>
        </w:rPr>
        <w:t xml:space="preserve">(3)  </w:t>
      </w:r>
      <w:bookmarkStart w:id="13" w:name="Bookmark__3"/>
      <w:bookmarkEnd w:id="13"/>
    </w:p>
    <w:p>
      <w:pPr>
        <w:keepNext w:val="0"/>
        <w:spacing w:before="120" w:after="0" w:line="300" w:lineRule="atLeast"/>
        <w:ind w:left="1080" w:right="0"/>
        <w:jc w:val="left"/>
      </w:pPr>
      <w:r>
        <w:rPr>
          <w:b/>
        </w:rPr>
        <w:t xml:space="preserve">(a)  </w:t>
      </w:r>
      <w:bookmarkStart w:id="14" w:name="Bookmark__3_a"/>
      <w:bookmarkEnd w:id="14"/>
      <w:r>
        <w:rPr>
          <w:rFonts w:ascii="times" w:eastAsia="times" w:hAnsi="times" w:cs="times"/>
          <w:b w:val="0"/>
          <w:i w:val="0"/>
          <w:strike w:val="0"/>
          <w:noProof w:val="0"/>
          <w:color w:val="000000"/>
          <w:position w:val="0"/>
          <w:sz w:val="24"/>
          <w:u w:val="none"/>
          <w:vertAlign w:val="baseline"/>
        </w:rPr>
        <w:t xml:space="preserve">If a processor or business fails to take reasonable care to guard against unauthorized access to account information that is in the possession or under the control of the business or processor, and the failure is found to be the proximate cause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the processor or business is liable to a financial institution for reimbursement of reasonable actual costs related to the reissuance of credit cards and debit cards that are incurred by the financial institution to mitigate potential current or future damages to its credit card and debit card holders that reside in the state of Washington as a consequence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even if the financial institution has not suffered a physical injury in connection with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In any legal action brought pursuant to this subsection, the prevailing party is entitled to recover its reasonable attorneys’ fees and costs incurred in connection with the legal action.</w:t>
      </w:r>
    </w:p>
    <w:p>
      <w:pPr>
        <w:keepNext w:val="0"/>
        <w:spacing w:before="120" w:after="0" w:line="300" w:lineRule="atLeast"/>
        <w:ind w:left="1080" w:right="0"/>
        <w:jc w:val="left"/>
      </w:pPr>
      <w:r>
        <w:rPr>
          <w:b/>
        </w:rPr>
        <w:t xml:space="preserve">(b)  </w:t>
      </w:r>
      <w:bookmarkStart w:id="15" w:name="Bookmark__3_b"/>
      <w:bookmarkEnd w:id="15"/>
      <w:r>
        <w:rPr>
          <w:rFonts w:ascii="times" w:eastAsia="times" w:hAnsi="times" w:cs="times"/>
          <w:b w:val="0"/>
          <w:i w:val="0"/>
          <w:strike w:val="0"/>
          <w:noProof w:val="0"/>
          <w:color w:val="000000"/>
          <w:position w:val="0"/>
          <w:sz w:val="24"/>
          <w:u w:val="none"/>
          <w:vertAlign w:val="baseline"/>
        </w:rPr>
        <w:t>A vendor, instead of a processor or business, is liable to a financial institution for the damages described in (a) of this subsection to the extent that the damages were proximately caused by the vendor’s negligence and if the claim is not limited or foreclosed by another provision of law or by a contract to which the financial institution is a party.</w:t>
      </w:r>
    </w:p>
    <w:p>
      <w:pPr>
        <w:keepNext w:val="0"/>
        <w:spacing w:before="120" w:after="0" w:line="300" w:lineRule="atLeast"/>
        <w:ind w:left="720" w:right="0"/>
        <w:jc w:val="left"/>
      </w:pPr>
      <w:r>
        <w:rPr>
          <w:b/>
        </w:rPr>
        <w:t xml:space="preserve">(4)  </w:t>
      </w:r>
      <w:bookmarkStart w:id="16" w:name="Bookmark__4"/>
      <w:bookmarkEnd w:id="16"/>
      <w:r>
        <w:rPr>
          <w:rFonts w:ascii="times" w:eastAsia="times" w:hAnsi="times" w:cs="times"/>
          <w:b w:val="0"/>
          <w:i w:val="0"/>
          <w:strike w:val="0"/>
          <w:noProof w:val="0"/>
          <w:color w:val="000000"/>
          <w:position w:val="0"/>
          <w:sz w:val="24"/>
          <w:u w:val="none"/>
          <w:vertAlign w:val="baseline"/>
        </w:rPr>
        <w:t>Nothing in this section may be construed as preventing or foreclosing any entity responsible for handling account information on behalf of a business or processor from being made a party to an action under this section.</w:t>
      </w:r>
    </w:p>
    <w:p>
      <w:pPr>
        <w:keepNext w:val="0"/>
        <w:spacing w:before="120" w:after="0" w:line="300" w:lineRule="atLeast"/>
        <w:ind w:left="720" w:right="0"/>
        <w:jc w:val="left"/>
      </w:pPr>
      <w:r>
        <w:rPr>
          <w:b/>
        </w:rPr>
        <w:t xml:space="preserve">(5)  </w:t>
      </w:r>
      <w:bookmarkStart w:id="17" w:name="Bookmark__5"/>
      <w:bookmarkEnd w:id="17"/>
      <w:r>
        <w:rPr>
          <w:rFonts w:ascii="times" w:eastAsia="times" w:hAnsi="times" w:cs="times"/>
          <w:b w:val="0"/>
          <w:i w:val="0"/>
          <w:strike w:val="0"/>
          <w:noProof w:val="0"/>
          <w:color w:val="000000"/>
          <w:position w:val="0"/>
          <w:sz w:val="24"/>
          <w:u w:val="none"/>
          <w:vertAlign w:val="baseline"/>
        </w:rPr>
        <w:t>Nothing in this section may be construed as preventing or foreclosing a processor, business, or vendor from asserting any defense otherwise available to it in an action including, but not limited to, defenses of contract, or of contributory or comparative negligence.</w:t>
      </w:r>
    </w:p>
    <w:p>
      <w:pPr>
        <w:keepNext w:val="0"/>
        <w:spacing w:before="120" w:after="0" w:line="300" w:lineRule="atLeast"/>
        <w:ind w:left="720" w:right="0"/>
        <w:jc w:val="left"/>
      </w:pPr>
      <w:r>
        <w:rPr>
          <w:b/>
        </w:rPr>
        <w:t xml:space="preserve">(6)  </w:t>
      </w:r>
      <w:bookmarkStart w:id="18" w:name="Bookmark__6"/>
      <w:bookmarkEnd w:id="18"/>
      <w:r>
        <w:rPr>
          <w:rFonts w:ascii="times" w:eastAsia="times" w:hAnsi="times" w:cs="times"/>
          <w:b w:val="0"/>
          <w:i w:val="0"/>
          <w:strike w:val="0"/>
          <w:noProof w:val="0"/>
          <w:color w:val="000000"/>
          <w:position w:val="0"/>
          <w:sz w:val="24"/>
          <w:u w:val="none"/>
          <w:vertAlign w:val="baseline"/>
        </w:rPr>
        <w:t>In cases to which this section applies, the trier of fact shall determine the percentage of the total fault which is attributable to every entity which was the proximate cause of the claimant’s damages.</w:t>
      </w:r>
    </w:p>
    <w:p>
      <w:pPr>
        <w:keepNext w:val="0"/>
        <w:spacing w:before="120" w:after="0" w:line="300" w:lineRule="atLeast"/>
        <w:ind w:left="720" w:right="0"/>
        <w:jc w:val="left"/>
      </w:pPr>
      <w:r>
        <w:rPr>
          <w:b/>
        </w:rPr>
        <w:t xml:space="preserve">(7)  </w:t>
      </w:r>
      <w:bookmarkStart w:id="19" w:name="Bookmark__7"/>
      <w:bookmarkEnd w:id="19"/>
      <w:r>
        <w:rPr>
          <w:rFonts w:ascii="times" w:eastAsia="times" w:hAnsi="times" w:cs="times"/>
          <w:b w:val="0"/>
          <w:i w:val="0"/>
          <w:strike w:val="0"/>
          <w:noProof w:val="0"/>
          <w:color w:val="000000"/>
          <w:position w:val="0"/>
          <w:sz w:val="24"/>
          <w:u w:val="none"/>
          <w:vertAlign w:val="baseline"/>
        </w:rPr>
        <w:t xml:space="preserve">The remedies under this section are cumulative and do not restrict any other right or remedy otherwise available under law, however a trier of fact may reduce damages awarded to a financial institution by any amount the financial institution recovers from a credit card company in connection with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for costs associated with access card reissuance.</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2010 c 151 § 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19.255.020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19.255.020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