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18-5-19e</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Education. (Arts.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County Board of Education. (§§ 18-5-1 — 18-5-50)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18-5-19e. Computer science and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instruction for adult learners. [Effective June 4, 2024]</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State Superintendent of Schools, or designee, shall seek, apply for, and if received, administer, and distribute through the division of PK through 12 Adult Instruction &amp; Career Engagement, any grants or other financial assistance that the Federal government and other public or private sources shall make available for purposes of providing computer science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instruction to adults.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State Superintendent of Schools, or designee, shall use or distribute any grants or other financial assistance received from the Federal government, and other public or private sources for purposes of providing computer science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instruction to adults, to school districts, public charter schools, area career and technology centers, job service and West Virginia Workforce centers, public libraries, adult education centers, and learning centers that qualify as non-profit entities under 26 U.S.C.S. §501(c)(3), not to exceed $300,000 per recipient. This shall occur on a biennium basis beginning on July 1, 2024, and ending June 30, 2026.</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School districts, public charter schools, public libraries, area career and technology centers, job service and West Virginia Workforce centers, adult education centers, and learning centers that qualify as non-profit entities under 26 U.S.C.S. §501(c)(3) shall use all or part of the grant money or financial assistance received to cover the expenditures, including instruction compensation, incurred in providing computer science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courses to adults.</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State Superintendent of Schools shall have authority to provide for the suitable coordination and supervision necessary to implement the purposes of this section.</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All computer science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instruction for adult learners established under this section shall be under regulations of the State Department of Education.</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115, effective June 4,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18-5-19e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18-5-19e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