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6-3-507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5. Computer Crimes (§§ 6-3-501 — 6-3-507)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6-3-507. Computer extortion;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computer extortion if he knowingly and without authorization introduces, attempts to introduce or directs or induces another to introduce,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into a computer, computer system or computer network which requires the payment of money or other consideration to remove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repair the damage caused to the computer, computer system or computer network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 extortion is a felony punishable by imprisonment for not more than ten (10) years, a fine of not more than ten thousand dollars ($10,000.00), or both.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4" w:name="Bookmark__c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“Computer or data contaminant” means any virus, worm or other similar computer program designed to encrypt, modify, damage, destroy, record or transmit information within a computer, computer system or computer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5" w:name="Bookmark__c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a computer or data contaminant, encryption or lock that restricts an owner’s access to a computer, computer data, computer system or computer network in any way.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does not include authentication required to upgrade or access purchased content.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 ch. 22, § 1, effective July 1,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§ 6-3-507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§ 6-3-507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