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18-4-408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Criminal Code  (Arts. 1 — 26)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Offenses Against Property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Theft  (§§ 18-4-401 — 18-4-420)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18-4-408. Theft of </w:t>
      </w:r>
      <w:r>
        <w:rPr>
          <w:rFonts w:ascii="times" w:eastAsia="times" w:hAnsi="times" w:cs="times"/>
          <w:b/>
          <w:i w:val="0"/>
          <w:strike w:val="0"/>
          <w:noProof w:val="0"/>
          <w:color w:val="000000"/>
          <w:position w:val="0"/>
          <w:sz w:val="28"/>
          <w:u w:val="none"/>
          <w:vertAlign w:val="baseline"/>
        </w:rPr>
        <w:t>trade</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secrets</w:t>
      </w:r>
      <w:r>
        <w:rPr>
          <w:rFonts w:ascii="times" w:eastAsia="times" w:hAnsi="times" w:cs="times"/>
          <w:b/>
          <w:i w:val="0"/>
          <w:strike w:val="0"/>
          <w:noProof w:val="0"/>
          <w:color w:val="000000"/>
          <w:position w:val="0"/>
          <w:sz w:val="28"/>
          <w:u w:val="none"/>
          <w:vertAlign w:val="baseline"/>
        </w:rPr>
        <w:t xml:space="preserve"> - penalty.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Any person who, with intent to deprive or withhold from the owner thereof the control of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or with an intent to appropriate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to his own use or to the use of another, steals or discloses to an unauthorized person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or, without authority, makes or causes to be made a copy of an article representing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commits theft of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As used in this section: </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“Article” means any object, material, device, or substance, or copy thereof, including any writing, record, recording, drawing, sample, specimen, prototype, model, photograph, microorganism, blueprint, or map. </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“Copy” means any facsimile, replica, photograph, or other reproduction of an article, and any note, drawing, or sketch made of or from an article. </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“Representing” means describing, depicting, containing, constituting, reflecting, or recording. </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means the whole or any portion or phase of any scientific or technical information, design, process, procedure, formula, improvement, confidential business or financial information, listing of names, addresses, or telephone numbers, or other information relating to any business or profession which is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and of value. To be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the owner thereof must have taken measures to prevent the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from becoming available to persons other than those selected by the owner to have access thereto for limited purposes. </w:t>
      </w:r>
    </w:p>
    <w:p>
      <w:pPr>
        <w:spacing w:before="120" w:line="240" w:lineRule="atLeast"/>
        <w:ind w:left="720"/>
      </w:pPr>
      <w:r>
        <w:rPr>
          <w:b/>
        </w:rPr>
        <w:t xml:space="preserve">(3)  </w:t>
      </w:r>
      <w:bookmarkStart w:id="7" w:name="Bookmark__3"/>
      <w:bookmarkEnd w:id="7"/>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 xml:space="preserve">Theft of a </w:t>
      </w:r>
      <w:r>
        <w:rPr>
          <w:rFonts w:ascii="times" w:eastAsia="times" w:hAnsi="times" w:cs="times"/>
          <w:b w:val="0"/>
          <w:i w:val="0"/>
          <w:strike w:val="0"/>
          <w:noProof w:val="0"/>
          <w:color w:val="000000"/>
          <w:position w:val="0"/>
          <w:sz w:val="24"/>
          <w:u w:val="none"/>
          <w:vertAlign w:val="baseline"/>
        </w:rPr>
        <w:t>trade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secret</w:t>
      </w:r>
      <w:r>
        <w:rPr>
          <w:rFonts w:ascii="times" w:eastAsia="times" w:hAnsi="times" w:cs="times"/>
          <w:b w:val="0"/>
          <w:i w:val="0"/>
          <w:strike w:val="0"/>
          <w:noProof w:val="0"/>
          <w:color w:val="000000"/>
          <w:position w:val="0"/>
          <w:sz w:val="24"/>
          <w:u w:val="none"/>
          <w:vertAlign w:val="baseline"/>
        </w:rPr>
        <w:t xml:space="preserve"> is a class 2 misdemeanor. </w:t>
      </w:r>
    </w:p>
    <w:p>
      <w:pPr>
        <w:keepNext w:val="0"/>
        <w:spacing w:before="120" w:after="0" w:line="300" w:lineRule="atLeast"/>
        <w:ind w:left="108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Notwithstanding section 16-5-401 (1)(a), C.R.S., any prosecution for violation of this section shall be commenced within three years after discovery of the offense.</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 xml:space="preserve"> L. 71:</w:t>
      </w:r>
      <w:r>
        <w:rPr>
          <w:rFonts w:ascii="times" w:eastAsia="times" w:hAnsi="times" w:cs="times"/>
          <w:b w:val="0"/>
          <w:i w:val="0"/>
          <w:strike w:val="0"/>
          <w:noProof w:val="0"/>
          <w:color w:val="000000"/>
          <w:position w:val="0"/>
          <w:sz w:val="24"/>
          <w:u w:val="none"/>
          <w:vertAlign w:val="baseline"/>
        </w:rPr>
        <w:t>R&amp;RE, p. 430, § 1.</w:t>
      </w:r>
      <w:r>
        <w:rPr>
          <w:rFonts w:ascii="times" w:eastAsia="times" w:hAnsi="times" w:cs="times"/>
          <w:b/>
          <w:i w:val="0"/>
          <w:strike w:val="0"/>
          <w:noProof w:val="0"/>
          <w:color w:val="000000"/>
          <w:position w:val="0"/>
          <w:sz w:val="24"/>
          <w:u w:val="none"/>
          <w:vertAlign w:val="baseline"/>
        </w:rPr>
        <w:t>C.R.S. 1963:</w:t>
      </w:r>
      <w:r>
        <w:rPr>
          <w:rFonts w:ascii="times" w:eastAsia="times" w:hAnsi="times" w:cs="times"/>
          <w:b w:val="0"/>
          <w:i w:val="0"/>
          <w:strike w:val="0"/>
          <w:noProof w:val="0"/>
          <w:color w:val="000000"/>
          <w:position w:val="0"/>
          <w:sz w:val="24"/>
          <w:u w:val="none"/>
          <w:vertAlign w:val="baseline"/>
        </w:rPr>
        <w:t>§ 40-4-408.</w:t>
      </w:r>
      <w:r>
        <w:rPr>
          <w:rFonts w:ascii="times" w:eastAsia="times" w:hAnsi="times" w:cs="times"/>
          <w:b/>
          <w:i w:val="0"/>
          <w:strike w:val="0"/>
          <w:noProof w:val="0"/>
          <w:color w:val="000000"/>
          <w:position w:val="0"/>
          <w:sz w:val="24"/>
          <w:u w:val="none"/>
          <w:vertAlign w:val="baseline"/>
        </w:rPr>
        <w:t xml:space="preserve"> L. 89:</w:t>
      </w:r>
      <w:r>
        <w:rPr>
          <w:rFonts w:ascii="times" w:eastAsia="times" w:hAnsi="times" w:cs="times"/>
          <w:b w:val="0"/>
          <w:i w:val="0"/>
          <w:strike w:val="0"/>
          <w:noProof w:val="0"/>
          <w:color w:val="000000"/>
          <w:position w:val="0"/>
          <w:sz w:val="24"/>
          <w:u w:val="none"/>
          <w:vertAlign w:val="baseline"/>
        </w:rPr>
        <w:t>(3) amended, p. 833, § 46, effective July 1.</w:t>
      </w:r>
      <w:r>
        <w:rPr>
          <w:rFonts w:ascii="times" w:eastAsia="times" w:hAnsi="times" w:cs="times"/>
          <w:b/>
          <w:i w:val="0"/>
          <w:strike w:val="0"/>
          <w:noProof w:val="0"/>
          <w:color w:val="000000"/>
          <w:position w:val="0"/>
          <w:sz w:val="24"/>
          <w:u w:val="none"/>
          <w:vertAlign w:val="baseline"/>
        </w:rPr>
        <w:t xml:space="preserve"> L. 98:</w:t>
      </w:r>
      <w:r>
        <w:rPr>
          <w:rFonts w:ascii="times" w:eastAsia="times" w:hAnsi="times" w:cs="times"/>
          <w:b w:val="0"/>
          <w:i w:val="0"/>
          <w:strike w:val="0"/>
          <w:noProof w:val="0"/>
          <w:color w:val="000000"/>
          <w:position w:val="0"/>
          <w:sz w:val="24"/>
          <w:u w:val="none"/>
          <w:vertAlign w:val="baseline"/>
        </w:rPr>
        <w:t>(3) amended, p. 156, § 1, effective July 1.</w:t>
      </w:r>
      <w:r>
        <w:rPr>
          <w:rFonts w:ascii="times" w:eastAsia="times" w:hAnsi="times" w:cs="times"/>
          <w:b/>
          <w:i w:val="0"/>
          <w:strike w:val="0"/>
          <w:noProof w:val="0"/>
          <w:color w:val="000000"/>
          <w:position w:val="0"/>
          <w:sz w:val="24"/>
          <w:u w:val="none"/>
          <w:vertAlign w:val="baseline"/>
        </w:rPr>
        <w:t xml:space="preserve"> L. 2021:</w:t>
      </w:r>
      <w:r>
        <w:rPr>
          <w:rFonts w:ascii="times" w:eastAsia="times" w:hAnsi="times" w:cs="times"/>
          <w:b w:val="0"/>
          <w:i w:val="0"/>
          <w:strike w:val="0"/>
          <w:noProof w:val="0"/>
          <w:color w:val="000000"/>
          <w:position w:val="0"/>
          <w:sz w:val="24"/>
          <w:u w:val="none"/>
          <w:vertAlign w:val="baseline"/>
        </w:rPr>
        <w:t>(3)(a) amended,(SB 21-271), ch. 462, p. 3177, § 206, effective March 1, 2022.</w:t>
      </w:r>
      <w:r>
        <w:rPr>
          <w:rFonts w:ascii="times" w:eastAsia="times" w:hAnsi="times" w:cs="times"/>
          <w:b/>
          <w:i w:val="0"/>
          <w:strike w:val="0"/>
          <w:noProof w:val="0"/>
          <w:color w:val="000000"/>
          <w:position w:val="0"/>
          <w:sz w:val="24"/>
          <w:u w:val="none"/>
          <w:vertAlign w:val="baseline"/>
        </w:rPr>
        <w:t xml:space="preserve"> L. 2023:</w:t>
      </w:r>
      <w:r>
        <w:rPr>
          <w:rFonts w:ascii="times" w:eastAsia="times" w:hAnsi="times" w:cs="times"/>
          <w:b w:val="0"/>
          <w:i w:val="0"/>
          <w:strike w:val="0"/>
          <w:noProof w:val="0"/>
          <w:color w:val="000000"/>
          <w:position w:val="0"/>
          <w:sz w:val="24"/>
          <w:u w:val="none"/>
          <w:vertAlign w:val="baseline"/>
        </w:rPr>
        <w:t>(3)(a) amended,(HB 23-1293), ch. 298, p. 1785, § 12, effective October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18-4-408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18-4-408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