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24-33.5-1903. Cyber operation center - coordination of missions.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department of public safety, using the office of prevention and security within the division of homeland security and emergency management, and using any other facilities deemed necessary and appropriate by the department of public safety, may coordinate with the division of homeland security and emergency management, the Colorado bureau of investigation, the federal bureau of investigation, the Colorado National Guard and other relevant military organizations, and other relevant information-sharing organizations to define the operational requirements for in-state and interstate operational and training networks.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furtherance of the provisions of subsection (1) of this section, the coordinating entities may: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Consider establishing appropriate memoranda of understanding or interstate compacts with entities that encourage the interstate sharing of information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Support the requirements for the fusion of cyber defense, cyber surveillance, and international and domestic intelligence and law enforcement operations;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Consider secure, distributed, and interactive network infrastructures for interstate cyber training and operations; </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Support secure Colorado requirements to identify threats and vulnerabilities and protect state cyber infrastructures; </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 xml:space="preserve">Conduct training, inspections, and operational exercises; </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Establish protocols for coordinating and sharing information with state and federal law enforcement and intelligence agencies responsible for investigating and collecting information related to cyber-based criminal and national security threats; </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Support state and federal law enforcement agencies with their responsibilities to investigate and prosecute threats to and attacks against critical infrastructure; and </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 xml:space="preserve">Ensure the coordination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information sharing among the Colorado bureau of investigation, the office of prevention and security, the office of information technology, and participating members of the federal bureau of investigation’s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task force or successor organization.</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668, § 1, effective July 1.</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(2)(f) and (2)(g) amended and (2)(h) added,(HB 21-1236), ch. 211, p. 1096, § 4, effective September 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