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44548" w14:textId="77777777" w:rsidR="00F001F2" w:rsidRDefault="00F001F2">
      <w:pPr>
        <w:sectPr w:rsidR="00F001F2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1BF2B838" w14:textId="77777777" w:rsidR="00F001F2" w:rsidRDefault="00F001F2"/>
    <w:p w14:paraId="499206BF" w14:textId="77777777" w:rsidR="00F001F2" w:rsidRDefault="00B923ED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 xml:space="preserve">Conn. </w:t>
      </w:r>
      <w:r>
        <w:rPr>
          <w:rFonts w:ascii="Times" w:hAnsi="Times" w:cs="Times"/>
          <w:color w:val="000000"/>
          <w:sz w:val="28"/>
        </w:rPr>
        <w:t>Gen. Stat. § 35-57</w:t>
      </w:r>
    </w:p>
    <w:p w14:paraId="0219B564" w14:textId="77777777" w:rsidR="00F001F2" w:rsidRDefault="00B923ED">
      <w:pPr>
        <w:spacing w:before="120" w:line="300" w:lineRule="atLeast"/>
        <w:jc w:val="center"/>
      </w:pPr>
      <w:r>
        <w:rPr>
          <w:color w:val="000000"/>
        </w:rPr>
        <w:t>Current through 2023 Regular Session and September Special Session</w:t>
      </w:r>
    </w:p>
    <w:p w14:paraId="2F50754D" w14:textId="77777777" w:rsidR="00F001F2" w:rsidRDefault="00F001F2">
      <w:pPr>
        <w:spacing w:line="240" w:lineRule="atLeast"/>
        <w:jc w:val="both"/>
      </w:pPr>
      <w:bookmarkStart w:id="1" w:name="Bookmark_9"/>
      <w:bookmarkEnd w:id="1"/>
    </w:p>
    <w:p w14:paraId="3CB0D8C0" w14:textId="77777777" w:rsidR="00F001F2" w:rsidRDefault="00B923ED">
      <w:pPr>
        <w:spacing w:before="200" w:line="280" w:lineRule="atLeast"/>
      </w:pPr>
      <w:r>
        <w:rPr>
          <w:b/>
          <w:i/>
          <w:color w:val="000000"/>
          <w:sz w:val="22"/>
        </w:rPr>
        <w:t xml:space="preserve">LexisNexis® Connecticut Annotated Statutes 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35 Trade Regulations, Trademarks and Collective and Certification Marks (Chs. 620 — 625)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Chapter 625 Uniform Tr</w:t>
      </w:r>
      <w:r>
        <w:rPr>
          <w:b/>
          <w:i/>
          <w:color w:val="000000"/>
          <w:sz w:val="22"/>
        </w:rPr>
        <w:t>ade Secrets Act (§§ 35-50 — 35-58)</w:t>
      </w:r>
    </w:p>
    <w:p w14:paraId="67781D0F" w14:textId="77777777" w:rsidR="00F001F2" w:rsidRDefault="00B923ED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Sec. 35-57. Provisions of chapter supersede conflicting law re civil liability. Limitation.</w:t>
      </w:r>
    </w:p>
    <w:p w14:paraId="05FFA417" w14:textId="314DE5EA" w:rsidR="00F001F2" w:rsidRDefault="00B923ED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E7A0CE" wp14:editId="03C4D5E2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84A35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3B46BF74" w14:textId="77777777" w:rsidR="00F001F2" w:rsidRDefault="00F001F2"/>
    <w:p w14:paraId="242B885A" w14:textId="77777777" w:rsidR="00F001F2" w:rsidRDefault="00B923ED">
      <w:pPr>
        <w:spacing w:before="120" w:line="300" w:lineRule="atLeast"/>
        <w:ind w:left="720"/>
      </w:pPr>
      <w:r>
        <w:rPr>
          <w:b/>
        </w:rPr>
        <w:t xml:space="preserve">(a)  </w:t>
      </w:r>
      <w:bookmarkStart w:id="2" w:name="Bookmark__a"/>
      <w:bookmarkEnd w:id="2"/>
      <w:r>
        <w:rPr>
          <w:color w:val="000000"/>
        </w:rPr>
        <w:t xml:space="preserve">Unless otherwise agreed by the parties, the provisions of this chapter supersede any conflicting tort, restitutionary, </w:t>
      </w:r>
      <w:r>
        <w:rPr>
          <w:color w:val="000000"/>
        </w:rPr>
        <w:t>or other law of this state pertaining to civil liability for misappropriation of a trade secret.</w:t>
      </w:r>
    </w:p>
    <w:p w14:paraId="351ABBEA" w14:textId="77777777" w:rsidR="00F001F2" w:rsidRDefault="00B923ED">
      <w:pPr>
        <w:spacing w:before="120" w:line="300" w:lineRule="atLeast"/>
        <w:ind w:left="720"/>
      </w:pPr>
      <w:r>
        <w:rPr>
          <w:b/>
        </w:rPr>
        <w:t xml:space="preserve">(b)  </w:t>
      </w:r>
      <w:bookmarkStart w:id="3" w:name="Bookmark__b"/>
      <w:bookmarkEnd w:id="3"/>
      <w:r>
        <w:rPr>
          <w:color w:val="000000"/>
        </w:rPr>
        <w:t>This chapter does not affect: (1) Contractual or other civil liability or relief that is not based upon misappropriation of a trade secret; (2) criminal l</w:t>
      </w:r>
      <w:r>
        <w:rPr>
          <w:color w:val="000000"/>
        </w:rPr>
        <w:t>iability for misappropriation of a trade secret; or (3) the duty of any person or state or municipal agency to disclose information pursuant to section 1-210, sections 31-40j to 31-40p, inclusive, or subsection (c) of section 12-62, or wherever expressly p</w:t>
      </w:r>
      <w:r>
        <w:rPr>
          <w:color w:val="000000"/>
        </w:rPr>
        <w:t>rovided by law.</w:t>
      </w:r>
    </w:p>
    <w:p w14:paraId="5DA7C3F7" w14:textId="77777777" w:rsidR="00F001F2" w:rsidRDefault="00B923ED">
      <w:pPr>
        <w:keepNext/>
        <w:spacing w:before="240" w:line="340" w:lineRule="atLeast"/>
      </w:pPr>
      <w:bookmarkStart w:id="4" w:name="History"/>
      <w:bookmarkEnd w:id="4"/>
      <w:r>
        <w:rPr>
          <w:b/>
          <w:color w:val="000000"/>
          <w:sz w:val="28"/>
        </w:rPr>
        <w:t>History</w:t>
      </w:r>
    </w:p>
    <w:p w14:paraId="0815D145" w14:textId="30F36775" w:rsidR="00F001F2" w:rsidRDefault="00B923ED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0BAB5" wp14:editId="63BEFCC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5240" r="1587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6349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480A052E" w14:textId="77777777" w:rsidR="00F001F2" w:rsidRDefault="00F001F2">
      <w:pPr>
        <w:spacing w:line="120" w:lineRule="exact"/>
      </w:pPr>
    </w:p>
    <w:p w14:paraId="437589A1" w14:textId="77777777" w:rsidR="00F001F2" w:rsidRDefault="00B923ED">
      <w:pPr>
        <w:spacing w:before="120" w:line="300" w:lineRule="atLeast"/>
      </w:pPr>
      <w:r>
        <w:rPr>
          <w:color w:val="000000"/>
        </w:rPr>
        <w:t>P.A. 83-344, S. 8; P.A. 95-283, S. 65, 68.</w:t>
      </w:r>
    </w:p>
    <w:p w14:paraId="0F2DD01D" w14:textId="77777777" w:rsidR="00F001F2" w:rsidRDefault="00B923ED">
      <w:pPr>
        <w:spacing w:before="120" w:line="260" w:lineRule="atLeast"/>
      </w:pPr>
      <w:r>
        <w:br/>
      </w:r>
      <w:r>
        <w:rPr>
          <w:color w:val="000000"/>
          <w:sz w:val="20"/>
        </w:rPr>
        <w:t xml:space="preserve">LexisNexis® Connecticut Annotated Statutes </w:t>
      </w:r>
    </w:p>
    <w:p w14:paraId="6B95AE37" w14:textId="77777777" w:rsidR="00F001F2" w:rsidRDefault="00B923ED">
      <w:pPr>
        <w:spacing w:line="260" w:lineRule="atLeast"/>
      </w:pPr>
      <w:r>
        <w:rPr>
          <w:color w:val="000000"/>
          <w:sz w:val="20"/>
        </w:rPr>
        <w:t>Copyright © 2024 All rights reserved.</w:t>
      </w:r>
    </w:p>
    <w:p w14:paraId="68497155" w14:textId="77777777" w:rsidR="00F001F2" w:rsidRDefault="00F001F2"/>
    <w:p w14:paraId="648DC5BC" w14:textId="70F13D50" w:rsidR="00F001F2" w:rsidRDefault="00B923ED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76A40" wp14:editId="2E4A3C1F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6985" r="6350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E959D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F001F2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1255B" w14:textId="77777777" w:rsidR="00000000" w:rsidRDefault="00B923ED">
      <w:r>
        <w:separator/>
      </w:r>
    </w:p>
  </w:endnote>
  <w:endnote w:type="continuationSeparator" w:id="0">
    <w:p w14:paraId="07BE5AFD" w14:textId="77777777" w:rsidR="00000000" w:rsidRDefault="00B9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F001F2" w14:paraId="4311373F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1DE18A89" w14:textId="77777777" w:rsidR="00F001F2" w:rsidRDefault="00F001F2"/>
      </w:tc>
      <w:tc>
        <w:tcPr>
          <w:tcW w:w="4880" w:type="dxa"/>
          <w:tcMar>
            <w:top w:w="200" w:type="dxa"/>
          </w:tcMar>
          <w:vAlign w:val="center"/>
        </w:tcPr>
        <w:p w14:paraId="708C6902" w14:textId="77777777" w:rsidR="00F001F2" w:rsidRDefault="00B923ED"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 w14:paraId="55A55741" w14:textId="77777777" w:rsidR="00F001F2" w:rsidRDefault="00F001F2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B46F5" w14:textId="77777777" w:rsidR="00F001F2" w:rsidRDefault="00B923ED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24DDF" w14:textId="77777777" w:rsidR="00000000" w:rsidRDefault="00B923ED">
      <w:r>
        <w:separator/>
      </w:r>
    </w:p>
  </w:footnote>
  <w:footnote w:type="continuationSeparator" w:id="0">
    <w:p w14:paraId="40E10E97" w14:textId="77777777" w:rsidR="00000000" w:rsidRDefault="00B92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F001F2" w14:paraId="6DCF2E22" w14:textId="77777777">
      <w:trPr>
        <w:jc w:val="center"/>
      </w:trPr>
      <w:tc>
        <w:tcPr>
          <w:tcW w:w="10080" w:type="dxa"/>
          <w:vAlign w:val="center"/>
        </w:tcPr>
        <w:p w14:paraId="428B1C73" w14:textId="77777777" w:rsidR="00F001F2" w:rsidRDefault="00B923ED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end"/>
          </w:r>
        </w:p>
      </w:tc>
    </w:tr>
    <w:tr w:rsidR="00F001F2" w14:paraId="1C5F2C82" w14:textId="77777777">
      <w:trPr>
        <w:jc w:val="center"/>
      </w:trPr>
      <w:tc>
        <w:tcPr>
          <w:tcW w:w="10080" w:type="dxa"/>
        </w:tcPr>
        <w:p w14:paraId="4029BDB2" w14:textId="77777777" w:rsidR="00F001F2" w:rsidRDefault="00B923ED">
          <w:pPr>
            <w:spacing w:before="60" w:after="200"/>
            <w:jc w:val="center"/>
          </w:pPr>
          <w:r>
            <w:rPr>
              <w:sz w:val="20"/>
            </w:rPr>
            <w:t>Sec. 35-57. Provisions of chapter supersede conflicting law re civil liability. Limitation.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B923ED"/>
    <w:rsid w:val="00CA2A55"/>
    <w:rsid w:val="00F0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CF61F55"/>
  <w15:docId w15:val="{D2C5F89F-7EEC-4742-BF1F-46EA2E31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EE1ADA9C-096A-4F83-9697-68B77B6B4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2C9C7-271B-4093-94BB-EB00F21F3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0EA7D-D1CF-45CD-844F-EB85D1A473E3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4e6a8aeb-c29e-4a8a-85db-b95bdfea3467"/>
    <ds:schemaRef ds:uri="http://www.w3.org/XML/1998/namespace"/>
    <ds:schemaRef ds:uri="55d6ef15-79d8-436f-a155-0c344616754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Sec. 35-57. Provisions of chapter supersede conflicting law re civil liability. Limitation.</dc:title>
  <dc:creator>Trayce Hockstad</dc:creator>
  <cp:lastModifiedBy>Trayce Hockstad</cp:lastModifiedBy>
  <cp:revision>2</cp:revision>
  <dcterms:created xsi:type="dcterms:W3CDTF">2024-04-18T17:12:00Z</dcterms:created>
  <dcterms:modified xsi:type="dcterms:W3CDTF">2024-04-18T17:12:00Z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222274802</vt:lpwstr>
  </property>
  <property fmtid="{D5CDD505-2E9C-101B-9397-08002B2CF9AE}" pid="3" name="LADocCount">
    <vt:lpwstr>1</vt:lpwstr>
  </property>
  <property fmtid="{D5CDD505-2E9C-101B-9397-08002B2CF9AE}" pid="4" name="LADocumentID:urn:contentItem:56C1-2SP1-648C-K41D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