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Del. C. § 8605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 Insurance Code (Pts.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 Miscellaneous (Chs. 77 — 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86 Insurance Data Security Act (§§ 8601 — 8611)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8605. Investigation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licensee, or an outside vendor or service provider designated to act on behalf of the licensee,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an investigation under this section, the licensee, or an outside vendor or service provider designated to act on behalf of the licensee, shall, at a minimum, do as much of the following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the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to prevent further unauthorized acquisition, release, or use of nonpublic information that is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provides nonpublic information to a third-party service provider and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that the third-party service provider maintains, the licensee shall complete the steps listed in subsection (b) of this section or make reasonable efforts to confirm and document that the third-party service provider has completed the steps.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licensee shall maintain records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for a period of at least 5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the Commissioner’s demand.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82 Del. Laws, c. 176,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Del. C. § 8605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Del. C. § 8605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