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29 Del. C. § 9030C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29 State Government (Pts. I — XI)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VIII Departments of Government (Chs. 79 — 90D)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90C Department of Technology and Information (Subchs.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III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 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(§ 9030C)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9030C. Delaware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 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Advisory Council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hereby established a Delaware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 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Advisory Council hereinafter referred to as the “DCSAC.” The DCSAC shall consist of 17 members to include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State Chief Information Officer, who shall serve as chair;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State Chief Security Officer;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Secretary of the Delaware Department of Safety and Homeland Security;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Director of the Delaware Emergency Management Agency;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Adjutant General of the Delaware National Guard;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President of the League of Local Governments;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8" w:name="Bookmark__a_7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President of the Delaware State Chamber of Commerce;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9" w:name="Bookmark__a_8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President of the Delaware Association of School Administrators;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0" w:name="Bookmark__a_9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Director of Consumer Protection of the Department of Justice;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11" w:name="Bookmark__a_10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Chief Justice of the Supreme Court;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12" w:name="Bookmark__a_11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President of the Delaware Healthcare Association;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(12)  </w:t>
      </w:r>
      <w:bookmarkStart w:id="13" w:name="Bookmark__a_12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Four private sector representatives appointed by the Governor;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(13)  </w:t>
      </w:r>
      <w:bookmarkStart w:id="14" w:name="Bookmark__a_13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Two representatives of Higher Education appointed by the Governor.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15" w:name="Bookmark_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Members serving by virtue of position may appoint a designee to serve.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16" w:name="Bookmark__c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Members appointed by the Governor shall serve at the pleasure of the Governor.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7" w:name="Bookmark__d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duties of the DCSAC are to do all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8" w:name="Bookmark__d_1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Facilitate cross-industry collaboration to share best practices and mitigate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 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risks related to critical infrastructure and protected systems;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9" w:name="Bookmark__d_2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Develop recommendations for improving the overall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 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posture across all sectors in Delaware;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20" w:name="Bookmark__d_3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 recommendations for increasing information sharing between all sectors in Delaware;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21" w:name="Bookmark__d_4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Recommend resources and possible methods to accomplish the recommendations identified in paragraph (d)(3) of this section;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22" w:name="Bookmark__d_5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recommendations to the Office of the Governor regarding the interoperability of equipment, technologies, and software infrastructure related to the cyberattacks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23" w:name="Bookmark__d_6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and participate in appropriate federal, multistate, or private sector programs and efforts that support or complement 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mission;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24" w:name="Bookmark__d_7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Liaise with the National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Communications Integration Center within the United States Department of Homeland Security, other state and federal agencies, and other public and private sector entities on issues relating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25" w:name="Bookmark__e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DCSAC may establish a subcommittee.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6" w:name="Bookmark__e_1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purpose and scope of the subcommittee will be the exchange of information about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vulnerabilities and response plans with entities who do not wish to be publicly identified.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7" w:name="Bookmark__e_2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Chair of the DCSAC will chair the subcommittee.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28" w:name="Bookmark__e_3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subcommittee will include at least 3 members of the DCSAC.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29" w:name="Bookmark__e_4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subcommittee will provide updates to the DCSAC as determined by DCSAC.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30" w:name="Bookmark__e_5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records of the subcommittee, including its summary information, findings, and recommendations, are not public records or subject to public inspection, except if shared with DCSAC.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31" w:name="Bookmark__e_6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subcommittee is not a public body subject to Chapter 100 of this title.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(f)  </w:t>
      </w:r>
      <w:bookmarkStart w:id="32" w:name="Bookmark__f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Delaware Department of Technology and Information shall provide staff and fiscal support to the DCSAC as part of the Department’s ongoing responsibility.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3" w:name="History"/>
      <w:bookmarkEnd w:id="3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81 Del. Laws, c. 373,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29 Del. C. § 9030C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 Del. C. § 9030C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