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41-164.07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VII. Property. (Titles 40 — 42)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41. Personal Property.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1A. Revised Uniform Unclaimed Property Act. (Subchs. I — XV)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XIV. Confidentiality and Security of Information. (§§ 41-164.01 — 41-164.08)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41-164.07. Security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prohibited by law other than this chapter, the Administrator or Administrator’s agent shall notify a holder as soon as practicable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suspected loss, misuse or unauthorized access, disclosure, modification, or destruction of confidential information obtained from the holder in the possession of the Administrator or an Administrator’s agent;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interference with operations in any system hosting or housing confidential information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a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Compromises the security, confidentiality, or integrity of the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a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Creates a substantial risk of identity fraud or theft.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necessary to inform an insurer, attorney, investigator, or others as required by law, the Administrator and an Administrator’s agent may not disclose, without the express consent in a record of the holder, an event described in subsection (a) of this section to a person whose confidential information was supplied by the holder.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event described in subsection (a) of this section occurs, the Administrator and the Administrator’s agent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c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action necessary for the holder to understand and minimize the effect of the event and determine its scope;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Cooperate with the holder with respect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c_2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notification required by law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" w:name="Bookmark__c_2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regulatory inquiry, litigation, or similar action.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(Nov. 13, 2021, D.C. Law 24-45, title VII, subtitle A, Pt 14, § 7088,  68 DCR 10163.)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D.C. Code § 41-164.07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D.C. Code § 41-164.07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