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1501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 CYBERSECURITY (§§ 1500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INFORMATION SHARING (§§ 1500 — 1510)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1501.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In this title [6 USCS §§ 1501 et seq.]:</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Agency. The term “agency” has the meaning given the term in section 3502 of title 44, United States Code.</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Antitrust laws. The term “antitrust laws”—</w:t>
      </w:r>
    </w:p>
    <w:p>
      <w:pPr>
        <w:keepNext w:val="0"/>
        <w:spacing w:before="120" w:after="0" w:line="300" w:lineRule="atLeast"/>
        <w:ind w:left="144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has the meaning given the term in the first section of the Clayton Act (15 U.S.C. 12);</w:t>
      </w:r>
    </w:p>
    <w:p>
      <w:pPr>
        <w:keepNext w:val="0"/>
        <w:spacing w:before="120" w:after="0" w:line="300" w:lineRule="atLeast"/>
        <w:ind w:left="144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includes section 5 of the Federal Trade Commission Act (15 U.S.C. 45) to the extent that section 5 of that Act applies to unfair methods of competition; and</w:t>
      </w:r>
    </w:p>
    <w:p>
      <w:pPr>
        <w:keepNext w:val="0"/>
        <w:spacing w:before="120" w:after="0" w:line="300" w:lineRule="atLeast"/>
        <w:ind w:left="144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includes any State antitrust law, but only to the extent that such law is consistent with the law referred to in subparagraph (A) or the law referred to in subparagraph (B).</w:t>
      </w:r>
    </w:p>
    <w:p>
      <w:pPr>
        <w:keepNext w:val="0"/>
        <w:spacing w:before="120" w:after="0" w:line="300" w:lineRule="atLeast"/>
        <w:ind w:left="1080" w:right="0"/>
        <w:jc w:val="left"/>
      </w:pPr>
      <w:r>
        <w:rPr>
          <w:b/>
        </w:rPr>
        <w:t xml:space="preserve">(3)  </w:t>
      </w:r>
      <w:bookmarkStart w:id="6" w:name="Bookmark__3"/>
      <w:bookmarkEnd w:id="6"/>
      <w:r>
        <w:rPr>
          <w:rFonts w:ascii="times" w:eastAsia="times" w:hAnsi="times" w:cs="times"/>
          <w:b w:val="0"/>
          <w:i w:val="0"/>
          <w:strike w:val="0"/>
          <w:noProof w:val="0"/>
          <w:color w:val="000000"/>
          <w:position w:val="0"/>
          <w:sz w:val="24"/>
          <w:u w:val="none"/>
          <w:vertAlign w:val="baseline"/>
        </w:rPr>
        <w:t>Appropriate Federal entities. The term “appropriate Federal entities” means the following:</w:t>
      </w:r>
    </w:p>
    <w:p>
      <w:pPr>
        <w:keepNext w:val="0"/>
        <w:spacing w:before="120" w:after="0" w:line="300" w:lineRule="atLeast"/>
        <w:ind w:left="1440" w:right="0"/>
        <w:jc w:val="left"/>
      </w:pPr>
      <w:r>
        <w:rPr>
          <w:b/>
        </w:rPr>
        <w:t xml:space="preserve">(A)  </w:t>
      </w:r>
      <w:bookmarkStart w:id="7" w:name="Bookmark__3_a"/>
      <w:bookmarkEnd w:id="7"/>
      <w:r>
        <w:rPr>
          <w:rFonts w:ascii="times" w:eastAsia="times" w:hAnsi="times" w:cs="times"/>
          <w:b w:val="0"/>
          <w:i w:val="0"/>
          <w:strike w:val="0"/>
          <w:noProof w:val="0"/>
          <w:color w:val="000000"/>
          <w:position w:val="0"/>
          <w:sz w:val="24"/>
          <w:u w:val="none"/>
          <w:vertAlign w:val="baseline"/>
        </w:rPr>
        <w:t>The Department of Commerce.</w:t>
      </w:r>
    </w:p>
    <w:p>
      <w:pPr>
        <w:keepNext w:val="0"/>
        <w:spacing w:before="120" w:after="0" w:line="300" w:lineRule="atLeast"/>
        <w:ind w:left="1440" w:right="0"/>
        <w:jc w:val="left"/>
      </w:pPr>
      <w:r>
        <w:rPr>
          <w:b/>
        </w:rPr>
        <w:t xml:space="preserve">(B)  </w:t>
      </w:r>
      <w:bookmarkStart w:id="8" w:name="Bookmark__3_b"/>
      <w:bookmarkEnd w:id="8"/>
      <w:r>
        <w:rPr>
          <w:rFonts w:ascii="times" w:eastAsia="times" w:hAnsi="times" w:cs="times"/>
          <w:b w:val="0"/>
          <w:i w:val="0"/>
          <w:strike w:val="0"/>
          <w:noProof w:val="0"/>
          <w:color w:val="000000"/>
          <w:position w:val="0"/>
          <w:sz w:val="24"/>
          <w:u w:val="none"/>
          <w:vertAlign w:val="baseline"/>
        </w:rPr>
        <w:t>The Department of Defense.</w:t>
      </w:r>
    </w:p>
    <w:p>
      <w:pPr>
        <w:keepNext w:val="0"/>
        <w:spacing w:before="120" w:after="0" w:line="300" w:lineRule="atLeast"/>
        <w:ind w:left="1440" w:right="0"/>
        <w:jc w:val="left"/>
      </w:pPr>
      <w:r>
        <w:rPr>
          <w:b/>
        </w:rPr>
        <w:t xml:space="preserve">(C)  </w:t>
      </w:r>
      <w:bookmarkStart w:id="9" w:name="Bookmark__3_c"/>
      <w:bookmarkEnd w:id="9"/>
      <w:r>
        <w:rPr>
          <w:rFonts w:ascii="times" w:eastAsia="times" w:hAnsi="times" w:cs="times"/>
          <w:b w:val="0"/>
          <w:i w:val="0"/>
          <w:strike w:val="0"/>
          <w:noProof w:val="0"/>
          <w:color w:val="000000"/>
          <w:position w:val="0"/>
          <w:sz w:val="24"/>
          <w:u w:val="none"/>
          <w:vertAlign w:val="baseline"/>
        </w:rPr>
        <w:t>The Department of Energy.</w:t>
      </w:r>
    </w:p>
    <w:p>
      <w:pPr>
        <w:keepNext w:val="0"/>
        <w:spacing w:before="120" w:after="0" w:line="300" w:lineRule="atLeast"/>
        <w:ind w:left="1440" w:right="0"/>
        <w:jc w:val="left"/>
      </w:pPr>
      <w:r>
        <w:rPr>
          <w:b/>
        </w:rPr>
        <w:t xml:space="preserve">(D)  </w:t>
      </w:r>
      <w:bookmarkStart w:id="10" w:name="Bookmark__3_d"/>
      <w:bookmarkEnd w:id="10"/>
      <w:r>
        <w:rPr>
          <w:rFonts w:ascii="times" w:eastAsia="times" w:hAnsi="times" w:cs="times"/>
          <w:b w:val="0"/>
          <w:i w:val="0"/>
          <w:strike w:val="0"/>
          <w:noProof w:val="0"/>
          <w:color w:val="000000"/>
          <w:position w:val="0"/>
          <w:sz w:val="24"/>
          <w:u w:val="none"/>
          <w:vertAlign w:val="baseline"/>
        </w:rPr>
        <w:t>The Department of Homeland Security.</w:t>
      </w:r>
    </w:p>
    <w:p>
      <w:pPr>
        <w:keepNext w:val="0"/>
        <w:spacing w:before="120" w:after="0" w:line="300" w:lineRule="atLeast"/>
        <w:ind w:left="1440" w:right="0"/>
        <w:jc w:val="left"/>
      </w:pPr>
      <w:r>
        <w:rPr>
          <w:b/>
        </w:rPr>
        <w:t xml:space="preserve">(E)  </w:t>
      </w:r>
      <w:bookmarkStart w:id="11" w:name="Bookmark__3_e"/>
      <w:bookmarkEnd w:id="11"/>
      <w:r>
        <w:rPr>
          <w:rFonts w:ascii="times" w:eastAsia="times" w:hAnsi="times" w:cs="times"/>
          <w:b w:val="0"/>
          <w:i w:val="0"/>
          <w:strike w:val="0"/>
          <w:noProof w:val="0"/>
          <w:color w:val="000000"/>
          <w:position w:val="0"/>
          <w:sz w:val="24"/>
          <w:u w:val="none"/>
          <w:vertAlign w:val="baseline"/>
        </w:rPr>
        <w:t>The Department of Justice.</w:t>
      </w:r>
    </w:p>
    <w:p>
      <w:pPr>
        <w:keepNext w:val="0"/>
        <w:spacing w:before="120" w:after="0" w:line="300" w:lineRule="atLeast"/>
        <w:ind w:left="1440" w:right="0"/>
        <w:jc w:val="left"/>
      </w:pPr>
      <w:r>
        <w:rPr>
          <w:b/>
        </w:rPr>
        <w:t xml:space="preserve">(F)  </w:t>
      </w:r>
      <w:bookmarkStart w:id="12" w:name="Bookmark__3_f"/>
      <w:bookmarkEnd w:id="12"/>
      <w:r>
        <w:rPr>
          <w:rFonts w:ascii="times" w:eastAsia="times" w:hAnsi="times" w:cs="times"/>
          <w:b w:val="0"/>
          <w:i w:val="0"/>
          <w:strike w:val="0"/>
          <w:noProof w:val="0"/>
          <w:color w:val="000000"/>
          <w:position w:val="0"/>
          <w:sz w:val="24"/>
          <w:u w:val="none"/>
          <w:vertAlign w:val="baseline"/>
        </w:rPr>
        <w:t>The Department of the Treasury.</w:t>
      </w:r>
    </w:p>
    <w:p>
      <w:pPr>
        <w:keepNext w:val="0"/>
        <w:spacing w:before="120" w:after="0" w:line="300" w:lineRule="atLeast"/>
        <w:ind w:left="1440" w:right="0"/>
        <w:jc w:val="left"/>
      </w:pPr>
      <w:r>
        <w:rPr>
          <w:b/>
        </w:rPr>
        <w:t xml:space="preserve">(G)  </w:t>
      </w:r>
      <w:bookmarkStart w:id="13" w:name="Bookmark__3_g"/>
      <w:bookmarkEnd w:id="13"/>
      <w:r>
        <w:rPr>
          <w:rFonts w:ascii="times" w:eastAsia="times" w:hAnsi="times" w:cs="times"/>
          <w:b w:val="0"/>
          <w:i w:val="0"/>
          <w:strike w:val="0"/>
          <w:noProof w:val="0"/>
          <w:color w:val="000000"/>
          <w:position w:val="0"/>
          <w:sz w:val="24"/>
          <w:u w:val="none"/>
          <w:vertAlign w:val="baseline"/>
        </w:rPr>
        <w:t>The Office of the Director of National Intelligence.</w:t>
      </w:r>
    </w:p>
    <w:p>
      <w:pPr>
        <w:keepNext w:val="0"/>
        <w:spacing w:before="120" w:after="0" w:line="300" w:lineRule="atLeast"/>
        <w:ind w:left="1080" w:right="0"/>
        <w:jc w:val="left"/>
      </w:pPr>
      <w:r>
        <w:rPr>
          <w:b/>
        </w:rPr>
        <w:t xml:space="preserve">(4)  </w:t>
      </w:r>
      <w:bookmarkStart w:id="14" w:name="Bookmark__4"/>
      <w:bookmarkEnd w:id="14"/>
      <w:r>
        <w:rPr>
          <w:rFonts w:ascii="times" w:eastAsia="times" w:hAnsi="times" w:cs="times"/>
          <w:b w:val="0"/>
          <w:i w:val="0"/>
          <w:strike w:val="0"/>
          <w:noProof w:val="0"/>
          <w:color w:val="000000"/>
          <w:position w:val="0"/>
          <w:sz w:val="24"/>
          <w:u w:val="none"/>
          <w:vertAlign w:val="baseline"/>
        </w:rPr>
        <w:t>Cybersecurity purpose. The term “cybersecurity purpose” has the meaning given the term in section 2200 of the Homeland Security Act of 2002 [6 USCS § 650].</w:t>
      </w:r>
    </w:p>
    <w:p>
      <w:pPr>
        <w:keepNext w:val="0"/>
        <w:spacing w:before="120" w:after="0" w:line="300" w:lineRule="atLeast"/>
        <w:ind w:left="1080" w:right="0"/>
        <w:jc w:val="left"/>
      </w:pPr>
      <w:r>
        <w:rPr>
          <w:b/>
        </w:rPr>
        <w:t xml:space="preserve">(5)  </w:t>
      </w:r>
      <w:bookmarkStart w:id="15" w:name="Bookmark__5"/>
      <w:bookmarkEnd w:id="15"/>
      <w:r>
        <w:rPr>
          <w:rFonts w:ascii="times" w:eastAsia="times" w:hAnsi="times" w:cs="times"/>
          <w:b w:val="0"/>
          <w:i w:val="0"/>
          <w:strike w:val="0"/>
          <w:noProof w:val="0"/>
          <w:color w:val="000000"/>
          <w:position w:val="0"/>
          <w:sz w:val="24"/>
          <w:u w:val="none"/>
          <w:vertAlign w:val="baseline"/>
        </w:rPr>
        <w:t>Cybersecurity threat. The term “cybersecurity threat” has the meaning given the term in section 2200 of the Homeland Security Act of 2002 [6 USCS § 650].</w:t>
      </w:r>
    </w:p>
    <w:p>
      <w:pPr>
        <w:keepNext w:val="0"/>
        <w:spacing w:before="120" w:after="0" w:line="300" w:lineRule="atLeast"/>
        <w:ind w:left="1080" w:right="0"/>
        <w:jc w:val="left"/>
      </w:pPr>
      <w:r>
        <w:rPr>
          <w:b/>
        </w:rPr>
        <w:t xml:space="preserve">(6)  </w:t>
      </w:r>
      <w:bookmarkStart w:id="16" w:name="Bookmark__6"/>
      <w:bookmarkEnd w:id="16"/>
      <w:r>
        <w:rPr>
          <w:rFonts w:ascii="times" w:eastAsia="times" w:hAnsi="times" w:cs="times"/>
          <w:b w:val="0"/>
          <w:i w:val="0"/>
          <w:strike w:val="0"/>
          <w:noProof w:val="0"/>
          <w:color w:val="000000"/>
          <w:position w:val="0"/>
          <w:sz w:val="24"/>
          <w:u w:val="none"/>
          <w:vertAlign w:val="baseline"/>
        </w:rPr>
        <w:t>Cyber threat indicator. The term “cyber threat indicator” has the meaning given the term in section 2200 of the Homeland Security Act of 2002 [6 USCS § 650].</w:t>
      </w:r>
    </w:p>
    <w:p>
      <w:pPr>
        <w:keepNext w:val="0"/>
        <w:spacing w:before="120" w:after="0" w:line="300" w:lineRule="atLeast"/>
        <w:ind w:left="1080" w:right="0"/>
        <w:jc w:val="left"/>
      </w:pPr>
      <w:r>
        <w:rPr>
          <w:b/>
        </w:rPr>
        <w:t xml:space="preserve">(7)  </w:t>
      </w:r>
      <w:bookmarkStart w:id="17" w:name="Bookmark__7"/>
      <w:bookmarkEnd w:id="17"/>
      <w:r>
        <w:rPr>
          <w:rFonts w:ascii="times" w:eastAsia="times" w:hAnsi="times" w:cs="times"/>
          <w:b w:val="0"/>
          <w:i w:val="0"/>
          <w:strike w:val="0"/>
          <w:noProof w:val="0"/>
          <w:color w:val="000000"/>
          <w:position w:val="0"/>
          <w:sz w:val="24"/>
          <w:u w:val="none"/>
          <w:vertAlign w:val="baseline"/>
        </w:rPr>
        <w:t>Defensive measure. The term “defensive measure” has the meaning given the term in section 2200 of the Homeland Security Act of 2002 [6 USCS § 650].</w:t>
      </w:r>
    </w:p>
    <w:p>
      <w:pPr>
        <w:keepNext w:val="0"/>
        <w:spacing w:before="120" w:after="0" w:line="300" w:lineRule="atLeast"/>
        <w:ind w:left="1080" w:right="0"/>
        <w:jc w:val="left"/>
      </w:pPr>
      <w:r>
        <w:rPr>
          <w:b/>
        </w:rPr>
        <w:t xml:space="preserve">(8)  </w:t>
      </w:r>
      <w:bookmarkStart w:id="18" w:name="Bookmark__8"/>
      <w:bookmarkEnd w:id="18"/>
      <w:r>
        <w:rPr>
          <w:rFonts w:ascii="times" w:eastAsia="times" w:hAnsi="times" w:cs="times"/>
          <w:b w:val="0"/>
          <w:i w:val="0"/>
          <w:strike w:val="0"/>
          <w:noProof w:val="0"/>
          <w:color w:val="000000"/>
          <w:position w:val="0"/>
          <w:sz w:val="24"/>
          <w:u w:val="none"/>
          <w:vertAlign w:val="baseline"/>
        </w:rPr>
        <w:t>Federal entity. The term “Federal entity” means a department or agency of the United States or any component of such department or agency.</w:t>
      </w:r>
    </w:p>
    <w:p>
      <w:pPr>
        <w:keepNext w:val="0"/>
        <w:spacing w:before="120" w:after="0" w:line="300" w:lineRule="atLeast"/>
        <w:ind w:left="1080" w:right="0"/>
        <w:jc w:val="left"/>
      </w:pPr>
      <w:r>
        <w:rPr>
          <w:b/>
        </w:rPr>
        <w:t xml:space="preserve">(9)  </w:t>
      </w:r>
      <w:bookmarkStart w:id="19" w:name="Bookmark__9"/>
      <w:bookmarkEnd w:id="19"/>
      <w:r>
        <w:rPr>
          <w:rFonts w:ascii="times" w:eastAsia="times" w:hAnsi="times" w:cs="times"/>
          <w:b w:val="0"/>
          <w:i w:val="0"/>
          <w:strike w:val="0"/>
          <w:noProof w:val="0"/>
          <w:color w:val="000000"/>
          <w:position w:val="0"/>
          <w:sz w:val="24"/>
          <w:u w:val="none"/>
          <w:vertAlign w:val="baseline"/>
        </w:rPr>
        <w:t>Information system. The term “information system” has the meaning given the term in section 2200 of the Homeland Security Act of 2002 [6 USCS § 650].</w:t>
      </w:r>
    </w:p>
    <w:p>
      <w:pPr>
        <w:keepNext w:val="0"/>
        <w:spacing w:before="120" w:after="0" w:line="300" w:lineRule="atLeast"/>
        <w:ind w:left="1080" w:right="0"/>
        <w:jc w:val="left"/>
      </w:pPr>
      <w:r>
        <w:rPr>
          <w:b/>
        </w:rPr>
        <w:t xml:space="preserve">(10)  </w:t>
      </w:r>
      <w:bookmarkStart w:id="20" w:name="Bookmark__10"/>
      <w:bookmarkEnd w:id="20"/>
      <w:r>
        <w:rPr>
          <w:rFonts w:ascii="times" w:eastAsia="times" w:hAnsi="times" w:cs="times"/>
          <w:b w:val="0"/>
          <w:i w:val="0"/>
          <w:strike w:val="0"/>
          <w:noProof w:val="0"/>
          <w:color w:val="000000"/>
          <w:position w:val="0"/>
          <w:sz w:val="24"/>
          <w:u w:val="none"/>
          <w:vertAlign w:val="baseline"/>
        </w:rPr>
        <w:t>Local government. The term “local government” means any borough, city, county, parish, town, township, village, or other political subdivision of a State.</w:t>
      </w:r>
    </w:p>
    <w:p>
      <w:pPr>
        <w:keepNext w:val="0"/>
        <w:spacing w:before="120" w:after="0" w:line="300" w:lineRule="atLeast"/>
        <w:ind w:left="1080" w:right="0"/>
        <w:jc w:val="left"/>
      </w:pPr>
      <w:r>
        <w:rPr>
          <w:b/>
        </w:rPr>
        <w:t xml:space="preserve">(11)  </w:t>
      </w:r>
      <w:bookmarkStart w:id="21" w:name="Bookmark__1_seq2"/>
      <w:bookmarkEnd w:id="21"/>
      <w:r>
        <w:rPr>
          <w:rFonts w:ascii="times" w:eastAsia="times" w:hAnsi="times" w:cs="times"/>
          <w:b w:val="0"/>
          <w:i w:val="0"/>
          <w:strike w:val="0"/>
          <w:noProof w:val="0"/>
          <w:color w:val="000000"/>
          <w:position w:val="0"/>
          <w:sz w:val="24"/>
          <w:u w:val="none"/>
          <w:vertAlign w:val="baseline"/>
        </w:rPr>
        <w:t>Malicious cyber command and control. The term “malicious cyber command and control” has the meaning given the term in section 2200 of the Homeland Security Act of 2002 [6 USCS § 650].</w:t>
      </w:r>
    </w:p>
    <w:p>
      <w:pPr>
        <w:keepNext w:val="0"/>
        <w:spacing w:before="120" w:after="0" w:line="300" w:lineRule="atLeast"/>
        <w:ind w:left="1080" w:right="0"/>
        <w:jc w:val="left"/>
      </w:pPr>
      <w:r>
        <w:rPr>
          <w:b/>
        </w:rPr>
        <w:t xml:space="preserve">(12)  </w:t>
      </w:r>
      <w:bookmarkStart w:id="22" w:name="Bookmark__1_seq3"/>
      <w:bookmarkEnd w:id="22"/>
      <w:r>
        <w:rPr>
          <w:rFonts w:ascii="times" w:eastAsia="times" w:hAnsi="times" w:cs="times"/>
          <w:b w:val="0"/>
          <w:i w:val="0"/>
          <w:strike w:val="0"/>
          <w:noProof w:val="0"/>
          <w:color w:val="000000"/>
          <w:position w:val="0"/>
          <w:sz w:val="24"/>
          <w:u w:val="none"/>
          <w:vertAlign w:val="baseline"/>
        </w:rPr>
        <w:t>Malicious reconnaissance. The term “malicious reconnaissance” has the meaning given the term in section 2200 of the Homeland Security Act of 2002 [6 USCS § 650].</w:t>
      </w:r>
    </w:p>
    <w:p>
      <w:pPr>
        <w:keepNext w:val="0"/>
        <w:spacing w:before="120" w:after="0" w:line="300" w:lineRule="atLeast"/>
        <w:ind w:left="1080" w:right="0"/>
        <w:jc w:val="left"/>
      </w:pPr>
      <w:r>
        <w:rPr>
          <w:b/>
        </w:rPr>
        <w:t xml:space="preserve">(13)  </w:t>
      </w:r>
      <w:bookmarkStart w:id="23" w:name="Bookmark__1_seq4"/>
      <w:bookmarkEnd w:id="23"/>
      <w:r>
        <w:rPr>
          <w:rFonts w:ascii="times" w:eastAsia="times" w:hAnsi="times" w:cs="times"/>
          <w:b w:val="0"/>
          <w:i w:val="0"/>
          <w:strike w:val="0"/>
          <w:noProof w:val="0"/>
          <w:color w:val="000000"/>
          <w:position w:val="0"/>
          <w:sz w:val="24"/>
          <w:u w:val="none"/>
          <w:vertAlign w:val="baseline"/>
        </w:rPr>
        <w:t>Monitor. The term “monitor” has the meaning given the term in section 2200 of the Homeland Security Act of 2002 [6 USCS § 650].</w:t>
      </w:r>
    </w:p>
    <w:p>
      <w:pPr>
        <w:keepNext w:val="0"/>
        <w:spacing w:before="120" w:after="0" w:line="300" w:lineRule="atLeast"/>
        <w:ind w:left="1080" w:right="0"/>
        <w:jc w:val="left"/>
      </w:pPr>
      <w:r>
        <w:rPr>
          <w:b/>
        </w:rPr>
        <w:t xml:space="preserve">(14)  </w:t>
      </w:r>
      <w:bookmarkStart w:id="24" w:name="Bookmark__14"/>
      <w:bookmarkEnd w:id="24"/>
      <w:r>
        <w:rPr>
          <w:rFonts w:ascii="times" w:eastAsia="times" w:hAnsi="times" w:cs="times"/>
          <w:b w:val="0"/>
          <w:i w:val="0"/>
          <w:strike w:val="0"/>
          <w:noProof w:val="0"/>
          <w:color w:val="000000"/>
          <w:position w:val="0"/>
          <w:sz w:val="24"/>
          <w:u w:val="none"/>
          <w:vertAlign w:val="baseline"/>
        </w:rPr>
        <w:t>Non-Federal entity.</w:t>
      </w:r>
    </w:p>
    <w:p>
      <w:pPr>
        <w:keepNext w:val="0"/>
        <w:spacing w:before="120" w:after="0" w:line="300" w:lineRule="atLeast"/>
        <w:ind w:left="1440" w:right="0"/>
        <w:jc w:val="left"/>
      </w:pPr>
      <w:r>
        <w:rPr>
          <w:b/>
        </w:rPr>
        <w:t xml:space="preserve">(A)  </w:t>
      </w:r>
      <w:bookmarkStart w:id="25" w:name="Bookmark__14_a"/>
      <w:bookmarkEnd w:id="25"/>
      <w:r>
        <w:rPr>
          <w:rFonts w:ascii="times" w:eastAsia="times" w:hAnsi="times" w:cs="times"/>
          <w:b w:val="0"/>
          <w:i w:val="0"/>
          <w:strike w:val="0"/>
          <w:noProof w:val="0"/>
          <w:color w:val="000000"/>
          <w:position w:val="0"/>
          <w:sz w:val="24"/>
          <w:u w:val="none"/>
          <w:vertAlign w:val="baseline"/>
        </w:rPr>
        <w:t>In general. Except as otherwise provided in this paragraph, the term “non-Federal entity” means any private entity, non-Federal government agency or department, or State, tribal, or local government (including a political subdivision, department, or component thereof).</w:t>
      </w:r>
    </w:p>
    <w:p>
      <w:pPr>
        <w:keepNext w:val="0"/>
        <w:spacing w:before="120" w:after="0" w:line="300" w:lineRule="atLeast"/>
        <w:ind w:left="1440" w:right="0"/>
        <w:jc w:val="left"/>
      </w:pPr>
      <w:r>
        <w:rPr>
          <w:b/>
        </w:rPr>
        <w:t xml:space="preserve">(B)  </w:t>
      </w:r>
      <w:bookmarkStart w:id="26" w:name="Bookmark__14_b"/>
      <w:bookmarkEnd w:id="26"/>
      <w:r>
        <w:rPr>
          <w:rFonts w:ascii="times" w:eastAsia="times" w:hAnsi="times" w:cs="times"/>
          <w:b w:val="0"/>
          <w:i w:val="0"/>
          <w:strike w:val="0"/>
          <w:noProof w:val="0"/>
          <w:color w:val="000000"/>
          <w:position w:val="0"/>
          <w:sz w:val="24"/>
          <w:u w:val="none"/>
          <w:vertAlign w:val="baseline"/>
        </w:rPr>
        <w:t>Inclusions. The term “non-Federal entity” includes a government agency or department of the District of Columbia, the Commonwealth of Puerto Rico, the United States Virgin Islands, Guam, American Samoa, the Northern Mariana Islands, and any other territory or possession of the United States.</w:t>
      </w:r>
    </w:p>
    <w:p>
      <w:pPr>
        <w:keepNext w:val="0"/>
        <w:spacing w:before="120" w:after="0" w:line="300" w:lineRule="atLeast"/>
        <w:ind w:left="1440" w:right="0"/>
        <w:jc w:val="left"/>
      </w:pPr>
      <w:r>
        <w:rPr>
          <w:b/>
        </w:rPr>
        <w:t xml:space="preserve">(C)  </w:t>
      </w:r>
      <w:bookmarkStart w:id="27" w:name="Bookmark__14_c"/>
      <w:bookmarkEnd w:id="27"/>
      <w:r>
        <w:rPr>
          <w:rFonts w:ascii="times" w:eastAsia="times" w:hAnsi="times" w:cs="times"/>
          <w:b w:val="0"/>
          <w:i w:val="0"/>
          <w:strike w:val="0"/>
          <w:noProof w:val="0"/>
          <w:color w:val="000000"/>
          <w:position w:val="0"/>
          <w:sz w:val="24"/>
          <w:u w:val="none"/>
          <w:vertAlign w:val="baseline"/>
        </w:rPr>
        <w:t>Exclusion. The term “non-Federal entity” does not include a foreign power as defined in section 101 of the Foreign Intelligence Surveillance Act of 1978 (50 U.S.C. 1801).</w:t>
      </w:r>
    </w:p>
    <w:p>
      <w:pPr>
        <w:keepNext w:val="0"/>
        <w:spacing w:before="120" w:after="0" w:line="300" w:lineRule="atLeast"/>
        <w:ind w:left="1080" w:right="0"/>
        <w:jc w:val="left"/>
      </w:pPr>
      <w:r>
        <w:rPr>
          <w:b/>
        </w:rPr>
        <w:t xml:space="preserve">(15)  </w:t>
      </w:r>
      <w:bookmarkStart w:id="28" w:name="Bookmark__15"/>
      <w:bookmarkEnd w:id="28"/>
      <w:r>
        <w:rPr>
          <w:rFonts w:ascii="times" w:eastAsia="times" w:hAnsi="times" w:cs="times"/>
          <w:b w:val="0"/>
          <w:i w:val="0"/>
          <w:strike w:val="0"/>
          <w:noProof w:val="0"/>
          <w:color w:val="000000"/>
          <w:position w:val="0"/>
          <w:sz w:val="24"/>
          <w:u w:val="none"/>
          <w:vertAlign w:val="baseline"/>
        </w:rPr>
        <w:t>Private entity.</w:t>
      </w:r>
    </w:p>
    <w:p>
      <w:pPr>
        <w:keepNext w:val="0"/>
        <w:spacing w:before="120" w:after="0" w:line="300" w:lineRule="atLeast"/>
        <w:ind w:left="1440" w:right="0"/>
        <w:jc w:val="left"/>
      </w:pPr>
      <w:r>
        <w:rPr>
          <w:b/>
        </w:rPr>
        <w:t xml:space="preserve">(A)  </w:t>
      </w:r>
      <w:bookmarkStart w:id="29" w:name="Bookmark__15_a"/>
      <w:bookmarkEnd w:id="29"/>
      <w:r>
        <w:rPr>
          <w:rFonts w:ascii="times" w:eastAsia="times" w:hAnsi="times" w:cs="times"/>
          <w:b w:val="0"/>
          <w:i w:val="0"/>
          <w:strike w:val="0"/>
          <w:noProof w:val="0"/>
          <w:color w:val="000000"/>
          <w:position w:val="0"/>
          <w:sz w:val="24"/>
          <w:u w:val="none"/>
          <w:vertAlign w:val="baseline"/>
        </w:rPr>
        <w:t>In general. Except as otherwise provided in this paragraph, the term “private entity” means any person or private group, organization, proprietorship, partnership, trust, cooperative, corporation, or other commercial or nonprofit entity, including an officer, employee, or agent thereof.</w:t>
      </w:r>
    </w:p>
    <w:p>
      <w:pPr>
        <w:keepNext w:val="0"/>
        <w:spacing w:before="120" w:after="0" w:line="300" w:lineRule="atLeast"/>
        <w:ind w:left="1440" w:right="0"/>
        <w:jc w:val="left"/>
      </w:pPr>
      <w:r>
        <w:rPr>
          <w:b/>
        </w:rPr>
        <w:t xml:space="preserve">(B)  </w:t>
      </w:r>
      <w:bookmarkStart w:id="30" w:name="Bookmark__15_b"/>
      <w:bookmarkEnd w:id="30"/>
      <w:r>
        <w:rPr>
          <w:rFonts w:ascii="times" w:eastAsia="times" w:hAnsi="times" w:cs="times"/>
          <w:b w:val="0"/>
          <w:i w:val="0"/>
          <w:strike w:val="0"/>
          <w:noProof w:val="0"/>
          <w:color w:val="000000"/>
          <w:position w:val="0"/>
          <w:sz w:val="24"/>
          <w:u w:val="none"/>
          <w:vertAlign w:val="baseline"/>
        </w:rPr>
        <w:t>Inclusion. The term “private entity” includes a State, tribal, or local government performing utility services, such as electric, natural gas, or water services.</w:t>
      </w:r>
    </w:p>
    <w:p>
      <w:pPr>
        <w:keepNext w:val="0"/>
        <w:spacing w:before="120" w:after="0" w:line="300" w:lineRule="atLeast"/>
        <w:ind w:left="1440" w:right="0"/>
        <w:jc w:val="left"/>
      </w:pPr>
      <w:r>
        <w:rPr>
          <w:b/>
        </w:rPr>
        <w:t xml:space="preserve">(C)  </w:t>
      </w:r>
      <w:bookmarkStart w:id="31" w:name="Bookmark__15_c"/>
      <w:bookmarkEnd w:id="31"/>
      <w:r>
        <w:rPr>
          <w:rFonts w:ascii="times" w:eastAsia="times" w:hAnsi="times" w:cs="times"/>
          <w:b w:val="0"/>
          <w:i w:val="0"/>
          <w:strike w:val="0"/>
          <w:noProof w:val="0"/>
          <w:color w:val="000000"/>
          <w:position w:val="0"/>
          <w:sz w:val="24"/>
          <w:u w:val="none"/>
          <w:vertAlign w:val="baseline"/>
        </w:rPr>
        <w:t>Exclusion. The term “private entity” does not include a foreign power as defined in section 101 of the Foreign Intelligence Surveillance Act of 1978 (50 U.S.C. 1801).</w:t>
      </w:r>
    </w:p>
    <w:p>
      <w:pPr>
        <w:keepNext w:val="0"/>
        <w:spacing w:before="120" w:after="0" w:line="300" w:lineRule="atLeast"/>
        <w:ind w:left="1080" w:right="0"/>
        <w:jc w:val="left"/>
      </w:pPr>
      <w:r>
        <w:rPr>
          <w:b/>
        </w:rPr>
        <w:t xml:space="preserve">(16)  </w:t>
      </w:r>
      <w:bookmarkStart w:id="32" w:name="Bookmark__1_seq5"/>
      <w:bookmarkEnd w:id="32"/>
      <w:r>
        <w:rPr>
          <w:rFonts w:ascii="times" w:eastAsia="times" w:hAnsi="times" w:cs="times"/>
          <w:b w:val="0"/>
          <w:i w:val="0"/>
          <w:strike w:val="0"/>
          <w:noProof w:val="0"/>
          <w:color w:val="000000"/>
          <w:position w:val="0"/>
          <w:sz w:val="24"/>
          <w:u w:val="none"/>
          <w:vertAlign w:val="baseline"/>
        </w:rPr>
        <w:t>Security control. The term “security control” has the meaning given the term in section 2200 of the Homeland Security Act of 2002 [6 USCS § 650].</w:t>
      </w:r>
    </w:p>
    <w:p>
      <w:pPr>
        <w:keepNext w:val="0"/>
        <w:spacing w:before="120" w:after="0" w:line="300" w:lineRule="atLeast"/>
        <w:ind w:left="1080" w:right="0"/>
        <w:jc w:val="left"/>
      </w:pPr>
      <w:r>
        <w:rPr>
          <w:b/>
        </w:rPr>
        <w:t xml:space="preserve">(17)  </w:t>
      </w:r>
      <w:bookmarkStart w:id="33" w:name="Bookmark__1_seq6"/>
      <w:bookmarkEnd w:id="33"/>
      <w:r>
        <w:rPr>
          <w:rFonts w:ascii="times" w:eastAsia="times" w:hAnsi="times" w:cs="times"/>
          <w:b w:val="0"/>
          <w:i w:val="0"/>
          <w:strike w:val="0"/>
          <w:noProof w:val="0"/>
          <w:color w:val="000000"/>
          <w:position w:val="0"/>
          <w:sz w:val="24"/>
          <w:u w:val="none"/>
          <w:vertAlign w:val="baseline"/>
        </w:rPr>
        <w:t>Security vulnerability. The term “security vulnerability” has the meaning given the term in section 2200 of the Homeland Security Act of 2002 [6 USCS § 650].</w:t>
      </w:r>
    </w:p>
    <w:p>
      <w:pPr>
        <w:keepNext w:val="0"/>
        <w:spacing w:before="120" w:after="0" w:line="300" w:lineRule="atLeast"/>
        <w:ind w:left="1080" w:right="0"/>
        <w:jc w:val="left"/>
      </w:pPr>
      <w:r>
        <w:rPr>
          <w:b/>
        </w:rPr>
        <w:t xml:space="preserve">(18)  </w:t>
      </w:r>
      <w:bookmarkStart w:id="34" w:name="Bookmark__18"/>
      <w:bookmarkEnd w:id="34"/>
      <w:r>
        <w:rPr>
          <w:rFonts w:ascii="times" w:eastAsia="times" w:hAnsi="times" w:cs="times"/>
          <w:b w:val="0"/>
          <w:i w:val="0"/>
          <w:strike w:val="0"/>
          <w:noProof w:val="0"/>
          <w:color w:val="000000"/>
          <w:position w:val="0"/>
          <w:sz w:val="24"/>
          <w:u w:val="none"/>
          <w:vertAlign w:val="baseline"/>
        </w:rPr>
        <w:t>Tribal. The term “tribal” has the meaning given the term “Indian tribe” in section 4 of the Indian Self-Determination and Education Assistance Act (25 U.S.C. 450b).</w:t>
      </w:r>
    </w:p>
    <w:p>
      <w:pPr>
        <w:keepNext/>
        <w:spacing w:before="240" w:after="0" w:line="340" w:lineRule="atLeast"/>
        <w:ind w:left="0" w:right="0" w:firstLine="0"/>
        <w:jc w:val="left"/>
      </w:pPr>
      <w:bookmarkStart w:id="35" w:name="History"/>
      <w:bookmarkEnd w:id="3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HISTORY: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Dec. 18, 2015, P. L. 114-113, Div N, Title I, § 102, 129 Stat. 2936; Dec. 23, 2022, P.L. 117-263, Div G, Title LXXI, Subtitle E, § 7143(b)(4), 136 Stat. 3661.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1501.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1501.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225717987</vt:lpwstr>
  </property>
  <property fmtid="{D5CDD505-2E9C-101B-9397-08002B2CF9AE}" pid="3" name="LADocCount">
    <vt:lpwstr>1</vt:lpwstr>
  </property>
  <property fmtid="{D5CDD505-2E9C-101B-9397-08002B2CF9AE}" pid="4" name="LADocumentID:urn:contentItem:677P-F9V3-GXF6-84NJ-00000-00">
    <vt:lpwstr>Doc::/shared/document|contextualFeaturePermID::1519360</vt:lpwstr>
  </property>
  <property fmtid="{D5CDD505-2E9C-101B-9397-08002B2CF9AE}" pid="5" name="UserPermID">
    <vt:lpwstr>urn:user:PA186163333</vt:lpwstr>
  </property>
</Properties>
</file>