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D494F" w14:textId="77777777" w:rsidR="00223A74" w:rsidRDefault="00223A74">
      <w:pPr>
        <w:sectPr w:rsidR="00223A74">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39926604" w14:textId="77777777" w:rsidR="00223A74" w:rsidRDefault="00223A74"/>
    <w:p w14:paraId="40608D48" w14:textId="77777777" w:rsidR="00223A74" w:rsidRDefault="00FF7A13">
      <w:pPr>
        <w:pStyle w:val="Heading1"/>
        <w:keepNext w:val="0"/>
        <w:spacing w:after="200" w:line="340" w:lineRule="atLeast"/>
        <w:jc w:val="center"/>
      </w:pPr>
      <w:r>
        <w:rPr>
          <w:rFonts w:ascii="Times" w:hAnsi="Times" w:cs="Times"/>
          <w:color w:val="000000"/>
          <w:sz w:val="28"/>
        </w:rPr>
        <w:t>6 USCS § 1526</w:t>
      </w:r>
    </w:p>
    <w:p w14:paraId="5318D73A" w14:textId="77777777" w:rsidR="00223A74" w:rsidRDefault="00FF7A13">
      <w:pPr>
        <w:spacing w:before="120" w:line="300" w:lineRule="atLeast"/>
        <w:jc w:val="center"/>
      </w:pPr>
      <w:r>
        <w:rPr>
          <w:color w:val="000000"/>
        </w:rPr>
        <w:t xml:space="preserve">Current through </w:t>
      </w:r>
      <w:r>
        <w:rPr>
          <w:color w:val="000000"/>
        </w:rPr>
        <w:t>Public Law 118-62, approved May 13, 2024.</w:t>
      </w:r>
    </w:p>
    <w:p w14:paraId="7B059E43" w14:textId="77777777" w:rsidR="00223A74" w:rsidRDefault="00223A74">
      <w:pPr>
        <w:spacing w:line="240" w:lineRule="atLeast"/>
        <w:jc w:val="both"/>
      </w:pPr>
      <w:bookmarkStart w:id="1" w:name="Bookmark_6"/>
      <w:bookmarkEnd w:id="1"/>
    </w:p>
    <w:p w14:paraId="21957A83" w14:textId="77777777" w:rsidR="00223A74" w:rsidRDefault="00FF7A13">
      <w:pPr>
        <w:spacing w:before="200" w:line="280" w:lineRule="atLeast"/>
      </w:pPr>
      <w:r>
        <w:rPr>
          <w:b/>
          <w:i/>
          <w:color w:val="000000"/>
          <w:sz w:val="22"/>
        </w:rPr>
        <w:t>United States Code Service</w:t>
      </w:r>
      <w:r>
        <w:rPr>
          <w:b/>
          <w:color w:val="000000"/>
          <w:sz w:val="22"/>
        </w:rPr>
        <w:t xml:space="preserve">  &gt;  </w:t>
      </w:r>
      <w:r>
        <w:rPr>
          <w:b/>
          <w:i/>
          <w:color w:val="000000"/>
          <w:sz w:val="22"/>
        </w:rPr>
        <w:t>TITLE 6. DOMESTIC SECURITY (§§ 101 — 1534)</w:t>
      </w:r>
      <w:r>
        <w:rPr>
          <w:b/>
          <w:color w:val="000000"/>
          <w:sz w:val="22"/>
        </w:rPr>
        <w:t xml:space="preserve">  &gt;  </w:t>
      </w:r>
      <w:r>
        <w:rPr>
          <w:b/>
          <w:i/>
          <w:color w:val="000000"/>
          <w:sz w:val="22"/>
        </w:rPr>
        <w:t>CHAPTER 6. CYBERSECURITY (§§ 1500 — 1534)</w:t>
      </w:r>
      <w:r>
        <w:rPr>
          <w:b/>
          <w:color w:val="000000"/>
          <w:sz w:val="22"/>
        </w:rPr>
        <w:t xml:space="preserve">  &gt;  </w:t>
      </w:r>
      <w:r>
        <w:rPr>
          <w:b/>
          <w:i/>
          <w:color w:val="000000"/>
          <w:sz w:val="22"/>
        </w:rPr>
        <w:t>FEDERAL CYBERSECURITY ENHANCEMENT (§§ 1521 — 1526)</w:t>
      </w:r>
    </w:p>
    <w:p w14:paraId="7E89A4F7" w14:textId="77777777" w:rsidR="00223A74" w:rsidRDefault="00FF7A13">
      <w:pPr>
        <w:keepNext/>
        <w:spacing w:before="240" w:line="340" w:lineRule="atLeast"/>
      </w:pPr>
      <w:r>
        <w:br/>
      </w:r>
      <w:r>
        <w:rPr>
          <w:b/>
          <w:color w:val="000000"/>
          <w:sz w:val="28"/>
        </w:rPr>
        <w:t>§ 1526. Inventory of cryptographic sy</w:t>
      </w:r>
      <w:r>
        <w:rPr>
          <w:b/>
          <w:color w:val="000000"/>
          <w:sz w:val="28"/>
        </w:rPr>
        <w:t>stems; migration to post-quantum cryptography</w:t>
      </w:r>
    </w:p>
    <w:p w14:paraId="018A8C79" w14:textId="7F9AAE21" w:rsidR="00223A74" w:rsidRDefault="00FF7A13">
      <w:pPr>
        <w:spacing w:line="60" w:lineRule="exact"/>
      </w:pPr>
      <w:r>
        <w:rPr>
          <w:noProof/>
        </w:rPr>
        <mc:AlternateContent>
          <mc:Choice Requires="wps">
            <w:drawing>
              <wp:anchor distT="0" distB="0" distL="114300" distR="114300" simplePos="0" relativeHeight="251658240" behindDoc="0" locked="0" layoutInCell="1" allowOverlap="1" wp14:anchorId="73D9F9A1" wp14:editId="0A83DBFA">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257D8"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3B3BB16F" w14:textId="77777777" w:rsidR="00223A74" w:rsidRDefault="00223A74"/>
    <w:p w14:paraId="7C12C0FE" w14:textId="77777777" w:rsidR="00223A74" w:rsidRDefault="00FF7A13">
      <w:pPr>
        <w:spacing w:before="120" w:line="240" w:lineRule="atLeast"/>
        <w:ind w:left="720"/>
      </w:pPr>
      <w:r>
        <w:rPr>
          <w:b/>
        </w:rPr>
        <w:t xml:space="preserve">(a) Inventory.   </w:t>
      </w:r>
      <w:bookmarkStart w:id="2" w:name="Bookmark__a"/>
      <w:bookmarkEnd w:id="2"/>
    </w:p>
    <w:p w14:paraId="7682DB7D" w14:textId="77777777" w:rsidR="00223A74" w:rsidRDefault="00FF7A13">
      <w:pPr>
        <w:spacing w:before="120" w:line="300" w:lineRule="atLeast"/>
        <w:ind w:left="1080"/>
      </w:pPr>
      <w:r>
        <w:rPr>
          <w:b/>
        </w:rPr>
        <w:t xml:space="preserve">(1)  </w:t>
      </w:r>
      <w:bookmarkStart w:id="3" w:name="Bookmark__a_1"/>
      <w:bookmarkEnd w:id="3"/>
      <w:r>
        <w:rPr>
          <w:color w:val="000000"/>
        </w:rPr>
        <w:t xml:space="preserve">Establishment. Not later than 180 days after the date of enactment of this Act [enacted Dec. 21, 2022], the Director of OMB, in coordination with the National Cyber Director and in </w:t>
      </w:r>
      <w:r>
        <w:rPr>
          <w:color w:val="000000"/>
        </w:rPr>
        <w:t>consultation with the Director of CISA, shall issue guidance on the migration of information technology to post-quantum cryptography, which shall include at a minimum—</w:t>
      </w:r>
    </w:p>
    <w:p w14:paraId="152B3722" w14:textId="77777777" w:rsidR="00223A74" w:rsidRDefault="00FF7A13">
      <w:pPr>
        <w:spacing w:before="120" w:line="300" w:lineRule="atLeast"/>
        <w:ind w:left="1440"/>
      </w:pPr>
      <w:r>
        <w:rPr>
          <w:b/>
        </w:rPr>
        <w:t xml:space="preserve">(A)  </w:t>
      </w:r>
      <w:bookmarkStart w:id="4" w:name="Bookmark__a_1_a"/>
      <w:bookmarkEnd w:id="4"/>
      <w:r>
        <w:rPr>
          <w:color w:val="000000"/>
        </w:rPr>
        <w:t>a requirement for each agency to establish and maintain a current inventory of info</w:t>
      </w:r>
      <w:r>
        <w:rPr>
          <w:color w:val="000000"/>
        </w:rPr>
        <w:t>rmation technology in use by the agency that is vulnerable to decryption by quantum computers, prioritized using the criteria described in subparagraph (B);</w:t>
      </w:r>
    </w:p>
    <w:p w14:paraId="35EEDC68" w14:textId="77777777" w:rsidR="00223A74" w:rsidRDefault="00FF7A13">
      <w:pPr>
        <w:spacing w:before="120" w:line="300" w:lineRule="atLeast"/>
        <w:ind w:left="1440"/>
      </w:pPr>
      <w:r>
        <w:rPr>
          <w:b/>
        </w:rPr>
        <w:t xml:space="preserve">(B)  </w:t>
      </w:r>
      <w:bookmarkStart w:id="5" w:name="Bookmark__a_1_b"/>
      <w:bookmarkEnd w:id="5"/>
      <w:r>
        <w:rPr>
          <w:color w:val="000000"/>
        </w:rPr>
        <w:t>criteria to allow agencies to prioritize their inventory efforts; and</w:t>
      </w:r>
    </w:p>
    <w:p w14:paraId="278A5F72" w14:textId="77777777" w:rsidR="00223A74" w:rsidRDefault="00FF7A13">
      <w:pPr>
        <w:spacing w:before="120" w:line="300" w:lineRule="atLeast"/>
        <w:ind w:left="1440"/>
      </w:pPr>
      <w:r>
        <w:rPr>
          <w:b/>
        </w:rPr>
        <w:t xml:space="preserve">(C)  </w:t>
      </w:r>
      <w:bookmarkStart w:id="6" w:name="Bookmark__a_1_c"/>
      <w:bookmarkEnd w:id="6"/>
      <w:r>
        <w:rPr>
          <w:color w:val="000000"/>
        </w:rPr>
        <w:t xml:space="preserve">a description of </w:t>
      </w:r>
      <w:r>
        <w:rPr>
          <w:color w:val="000000"/>
        </w:rPr>
        <w:t>the information required to be reported pursuant to subsection (b).</w:t>
      </w:r>
    </w:p>
    <w:p w14:paraId="027C4DD8" w14:textId="77777777" w:rsidR="00223A74" w:rsidRDefault="00FF7A13">
      <w:pPr>
        <w:spacing w:before="120" w:line="300" w:lineRule="atLeast"/>
        <w:ind w:left="1080"/>
      </w:pPr>
      <w:r>
        <w:rPr>
          <w:b/>
        </w:rPr>
        <w:t xml:space="preserve">(2)  </w:t>
      </w:r>
      <w:bookmarkStart w:id="7" w:name="Bookmark__a_2"/>
      <w:bookmarkEnd w:id="7"/>
      <w:r>
        <w:rPr>
          <w:color w:val="000000"/>
        </w:rPr>
        <w:t>Additional content in guidance. In the guidance established by paragraph (1), the Director of OMB shall include, in addition to the requirements described in that paragraph—</w:t>
      </w:r>
    </w:p>
    <w:p w14:paraId="75C2F822" w14:textId="77777777" w:rsidR="00223A74" w:rsidRDefault="00FF7A13">
      <w:pPr>
        <w:spacing w:before="120" w:line="300" w:lineRule="atLeast"/>
        <w:ind w:left="1440"/>
      </w:pPr>
      <w:r>
        <w:rPr>
          <w:b/>
        </w:rPr>
        <w:t xml:space="preserve">(A)  </w:t>
      </w:r>
      <w:bookmarkStart w:id="8" w:name="Bookmark__a_2_a"/>
      <w:bookmarkEnd w:id="8"/>
      <w:r>
        <w:rPr>
          <w:color w:val="000000"/>
        </w:rPr>
        <w:t>a de</w:t>
      </w:r>
      <w:r>
        <w:rPr>
          <w:color w:val="000000"/>
        </w:rPr>
        <w:t>scription of information technology to be prioritized for migration to post-quantum cryptography; and</w:t>
      </w:r>
    </w:p>
    <w:p w14:paraId="53B6380C" w14:textId="77777777" w:rsidR="00223A74" w:rsidRDefault="00FF7A13">
      <w:pPr>
        <w:spacing w:before="120" w:line="300" w:lineRule="atLeast"/>
        <w:ind w:left="1440"/>
      </w:pPr>
      <w:r>
        <w:rPr>
          <w:b/>
        </w:rPr>
        <w:t xml:space="preserve">(B)  </w:t>
      </w:r>
      <w:bookmarkStart w:id="9" w:name="Bookmark__a_2_b"/>
      <w:bookmarkEnd w:id="9"/>
      <w:r>
        <w:rPr>
          <w:color w:val="000000"/>
        </w:rPr>
        <w:t>a process for evaluating progress on migrating information technology to post-quantum cryptography, which shall be automated to the greatest extent p</w:t>
      </w:r>
      <w:r>
        <w:rPr>
          <w:color w:val="000000"/>
        </w:rPr>
        <w:t>racticable.</w:t>
      </w:r>
    </w:p>
    <w:p w14:paraId="10911355" w14:textId="77777777" w:rsidR="00223A74" w:rsidRDefault="00FF7A13">
      <w:pPr>
        <w:spacing w:before="120" w:line="300" w:lineRule="atLeast"/>
        <w:ind w:left="1080"/>
      </w:pPr>
      <w:r>
        <w:rPr>
          <w:b/>
        </w:rPr>
        <w:t xml:space="preserve">(3)  </w:t>
      </w:r>
      <w:bookmarkStart w:id="10" w:name="Bookmark__a_3"/>
      <w:bookmarkEnd w:id="10"/>
      <w:r>
        <w:rPr>
          <w:color w:val="000000"/>
        </w:rPr>
        <w:t>Periodic updates. The Director of OMB shall update the guidance required under paragraph (1) as the Director of OMB determines necessary, in coordination with the National Cyber Director and in consultation with the Director of CISA.</w:t>
      </w:r>
    </w:p>
    <w:p w14:paraId="289F57BB" w14:textId="77777777" w:rsidR="00223A74" w:rsidRDefault="00FF7A13">
      <w:pPr>
        <w:spacing w:before="120" w:line="300" w:lineRule="atLeast"/>
        <w:ind w:left="720"/>
      </w:pPr>
      <w:r>
        <w:rPr>
          <w:b/>
        </w:rPr>
        <w:t>(b) A</w:t>
      </w:r>
      <w:r>
        <w:rPr>
          <w:b/>
        </w:rPr>
        <w:t xml:space="preserve">gency reports.   </w:t>
      </w:r>
      <w:bookmarkStart w:id="11" w:name="Bookmark__b"/>
      <w:bookmarkEnd w:id="11"/>
      <w:r>
        <w:rPr>
          <w:color w:val="000000"/>
        </w:rPr>
        <w:t>Not later than 1 year after the date of enactment of this Act [enacted Dec. 21, 2022], and on an ongoing basis thereafter, the head of each agency shall provide to the Director of OMB, the Director of CISA, and the National Cyber Director—</w:t>
      </w:r>
    </w:p>
    <w:p w14:paraId="03F56F16" w14:textId="77777777" w:rsidR="00223A74" w:rsidRDefault="00FF7A13">
      <w:pPr>
        <w:spacing w:before="120" w:line="300" w:lineRule="atLeast"/>
        <w:ind w:left="1080"/>
      </w:pPr>
      <w:r>
        <w:rPr>
          <w:b/>
        </w:rPr>
        <w:t xml:space="preserve">(1)  </w:t>
      </w:r>
      <w:bookmarkStart w:id="12" w:name="Bookmark__b_1"/>
      <w:bookmarkEnd w:id="12"/>
      <w:r>
        <w:rPr>
          <w:color w:val="000000"/>
        </w:rPr>
        <w:t>the inventory described in subsection (a)(1); and</w:t>
      </w:r>
    </w:p>
    <w:p w14:paraId="79B363C6" w14:textId="77777777" w:rsidR="00223A74" w:rsidRDefault="00FF7A13">
      <w:pPr>
        <w:spacing w:before="120" w:line="300" w:lineRule="atLeast"/>
        <w:ind w:left="1080"/>
      </w:pPr>
      <w:r>
        <w:rPr>
          <w:b/>
        </w:rPr>
        <w:t xml:space="preserve">(2)  </w:t>
      </w:r>
      <w:bookmarkStart w:id="13" w:name="Bookmark__b_2"/>
      <w:bookmarkEnd w:id="13"/>
      <w:r>
        <w:rPr>
          <w:color w:val="000000"/>
        </w:rPr>
        <w:t>any other information required to be reported under subsection (a)(1)(C).</w:t>
      </w:r>
    </w:p>
    <w:p w14:paraId="72079963" w14:textId="77777777" w:rsidR="00223A74" w:rsidRDefault="00FF7A13">
      <w:pPr>
        <w:spacing w:before="120" w:line="300" w:lineRule="atLeast"/>
        <w:ind w:left="720"/>
      </w:pPr>
      <w:r>
        <w:rPr>
          <w:b/>
        </w:rPr>
        <w:t xml:space="preserve">(c) Migration and assessment.   </w:t>
      </w:r>
      <w:bookmarkStart w:id="14" w:name="Bookmark__c"/>
      <w:bookmarkEnd w:id="14"/>
      <w:r>
        <w:rPr>
          <w:color w:val="000000"/>
        </w:rPr>
        <w:t>Not later than 1 year after the date on which the Director of NIST has issued post-quantu</w:t>
      </w:r>
      <w:r>
        <w:rPr>
          <w:color w:val="000000"/>
        </w:rPr>
        <w:t>m cryptography standards, the Director of OMB shall issue guidance requiring each agency to—</w:t>
      </w:r>
    </w:p>
    <w:p w14:paraId="289471EA" w14:textId="77777777" w:rsidR="00223A74" w:rsidRDefault="00FF7A13">
      <w:pPr>
        <w:spacing w:before="120" w:line="300" w:lineRule="atLeast"/>
        <w:ind w:left="1080"/>
      </w:pPr>
      <w:r>
        <w:rPr>
          <w:b/>
        </w:rPr>
        <w:lastRenderedPageBreak/>
        <w:t xml:space="preserve">(1)  </w:t>
      </w:r>
      <w:bookmarkStart w:id="15" w:name="Bookmark__c_1"/>
      <w:bookmarkEnd w:id="15"/>
      <w:r>
        <w:rPr>
          <w:color w:val="000000"/>
        </w:rPr>
        <w:t>prioritize information technology described under subsection (a)(2)(A) for migration to post-quantum cryptography; and</w:t>
      </w:r>
    </w:p>
    <w:p w14:paraId="61E2D6BA" w14:textId="77777777" w:rsidR="00223A74" w:rsidRDefault="00FF7A13">
      <w:pPr>
        <w:spacing w:before="120" w:line="300" w:lineRule="atLeast"/>
        <w:ind w:left="1080"/>
      </w:pPr>
      <w:r>
        <w:rPr>
          <w:b/>
        </w:rPr>
        <w:t xml:space="preserve">(2)  </w:t>
      </w:r>
      <w:bookmarkStart w:id="16" w:name="Bookmark__c_2"/>
      <w:bookmarkEnd w:id="16"/>
      <w:r>
        <w:rPr>
          <w:color w:val="000000"/>
        </w:rPr>
        <w:t>develop a plan to migrate informat</w:t>
      </w:r>
      <w:r>
        <w:rPr>
          <w:color w:val="000000"/>
        </w:rPr>
        <w:t>ion technology of the agency to post-quantum cryptography consistent with the prioritization under paragraph (1).</w:t>
      </w:r>
    </w:p>
    <w:p w14:paraId="56548AAA" w14:textId="77777777" w:rsidR="00223A74" w:rsidRDefault="00FF7A13">
      <w:pPr>
        <w:spacing w:before="120" w:line="300" w:lineRule="atLeast"/>
        <w:ind w:left="720"/>
      </w:pPr>
      <w:r>
        <w:rPr>
          <w:b/>
        </w:rPr>
        <w:t xml:space="preserve">(d) Interoperability.   </w:t>
      </w:r>
      <w:bookmarkStart w:id="17" w:name="Bookmark__d"/>
      <w:bookmarkEnd w:id="17"/>
      <w:r>
        <w:rPr>
          <w:color w:val="000000"/>
        </w:rPr>
        <w:t>The Director of OMB shall ensure that the prioritizations made under subsection (c)(1) are assessed and coordinated to</w:t>
      </w:r>
      <w:r>
        <w:rPr>
          <w:color w:val="000000"/>
        </w:rPr>
        <w:t xml:space="preserve"> ensure interoperability.</w:t>
      </w:r>
    </w:p>
    <w:p w14:paraId="04588795" w14:textId="77777777" w:rsidR="00223A74" w:rsidRDefault="00FF7A13">
      <w:pPr>
        <w:spacing w:before="120" w:line="240" w:lineRule="atLeast"/>
        <w:ind w:left="720"/>
      </w:pPr>
      <w:r>
        <w:rPr>
          <w:b/>
        </w:rPr>
        <w:t xml:space="preserve">(e) Office of Management and Budget reports.   </w:t>
      </w:r>
      <w:bookmarkStart w:id="18" w:name="Bookmark__e"/>
      <w:bookmarkEnd w:id="18"/>
    </w:p>
    <w:p w14:paraId="53562137" w14:textId="77777777" w:rsidR="00223A74" w:rsidRDefault="00FF7A13">
      <w:pPr>
        <w:spacing w:before="120" w:line="300" w:lineRule="atLeast"/>
        <w:ind w:left="1080"/>
      </w:pPr>
      <w:r>
        <w:rPr>
          <w:b/>
        </w:rPr>
        <w:t xml:space="preserve">(1)  </w:t>
      </w:r>
      <w:bookmarkStart w:id="19" w:name="Bookmark__e_1"/>
      <w:bookmarkEnd w:id="19"/>
      <w:r>
        <w:rPr>
          <w:color w:val="000000"/>
        </w:rPr>
        <w:t>Report on post-quantum cryptography. Not later than 15 months after the date of enactment of this Act [enacted Dec. 21, 2022], the Director of OMB, in coordination with the Nati</w:t>
      </w:r>
      <w:r>
        <w:rPr>
          <w:color w:val="000000"/>
        </w:rPr>
        <w:t>onal Cyber Director and in consultation with the Director of CISA, shall submit to the Committee on Homeland Security and Governmental Affairs of the Senate and the Committee on Oversight and Reform of the House of Representatives a report on the following</w:t>
      </w:r>
      <w:r>
        <w:rPr>
          <w:color w:val="000000"/>
        </w:rPr>
        <w:t>:</w:t>
      </w:r>
    </w:p>
    <w:p w14:paraId="2A451CC3" w14:textId="77777777" w:rsidR="00223A74" w:rsidRDefault="00FF7A13">
      <w:pPr>
        <w:spacing w:before="120" w:line="300" w:lineRule="atLeast"/>
        <w:ind w:left="1440"/>
      </w:pPr>
      <w:r>
        <w:rPr>
          <w:b/>
        </w:rPr>
        <w:t xml:space="preserve">(A)  </w:t>
      </w:r>
      <w:bookmarkStart w:id="20" w:name="Bookmark__e_1_a"/>
      <w:bookmarkEnd w:id="20"/>
      <w:r>
        <w:rPr>
          <w:color w:val="000000"/>
        </w:rPr>
        <w:t>A strategy to address the risk posed by the vulnerabilities of information technology of agencies to weakened encryption due to the potential and possible capability of a quantum computer to breach that encryption.</w:t>
      </w:r>
    </w:p>
    <w:p w14:paraId="386D4041" w14:textId="77777777" w:rsidR="00223A74" w:rsidRDefault="00FF7A13">
      <w:pPr>
        <w:spacing w:before="120" w:line="300" w:lineRule="atLeast"/>
        <w:ind w:left="1440"/>
      </w:pPr>
      <w:r>
        <w:rPr>
          <w:b/>
        </w:rPr>
        <w:t xml:space="preserve">(B)  </w:t>
      </w:r>
      <w:bookmarkStart w:id="21" w:name="Bookmark__e_1_b"/>
      <w:bookmarkEnd w:id="21"/>
      <w:r>
        <w:rPr>
          <w:color w:val="000000"/>
        </w:rPr>
        <w:t xml:space="preserve">An estimate of the amount of </w:t>
      </w:r>
      <w:r>
        <w:rPr>
          <w:color w:val="000000"/>
        </w:rPr>
        <w:t>funding needed by agencies to secure the information technology described in subsection (a)(1)(A) from the risk posed by an adversary of the United States using a quantum computer to breach the encryption of the information technology.</w:t>
      </w:r>
    </w:p>
    <w:p w14:paraId="5246C82B" w14:textId="77777777" w:rsidR="00223A74" w:rsidRDefault="00FF7A13">
      <w:pPr>
        <w:spacing w:before="120" w:line="300" w:lineRule="atLeast"/>
        <w:ind w:left="1440"/>
      </w:pPr>
      <w:r>
        <w:rPr>
          <w:b/>
        </w:rPr>
        <w:t xml:space="preserve">(C)  </w:t>
      </w:r>
      <w:bookmarkStart w:id="22" w:name="Bookmark__e_1_c"/>
      <w:bookmarkEnd w:id="22"/>
      <w:r>
        <w:rPr>
          <w:color w:val="000000"/>
        </w:rPr>
        <w:t>A description o</w:t>
      </w:r>
      <w:r>
        <w:rPr>
          <w:color w:val="000000"/>
        </w:rPr>
        <w:t>f Federal civilian executive branch coordination efforts led by the National Institute of Standards and Technology, including timelines, to develop standards for post-quantum cryptography, including any Federal Information Processing Standards developed un</w:t>
      </w:r>
      <w:r>
        <w:rPr>
          <w:color w:val="000000"/>
        </w:rPr>
        <w:t>der chapter 35 of title 44, United States Code [44 USCS §§ 3501 et seq.], as well as standards developed through voluntary, consensus standards bodies such as the International Organization for Standardization.</w:t>
      </w:r>
    </w:p>
    <w:p w14:paraId="0079E933" w14:textId="77777777" w:rsidR="00223A74" w:rsidRDefault="00FF7A13">
      <w:pPr>
        <w:spacing w:before="120" w:line="300" w:lineRule="atLeast"/>
        <w:ind w:left="1080"/>
      </w:pPr>
      <w:r>
        <w:rPr>
          <w:b/>
        </w:rPr>
        <w:t xml:space="preserve">(2)  </w:t>
      </w:r>
      <w:bookmarkStart w:id="23" w:name="Bookmark__e_2"/>
      <w:bookmarkEnd w:id="23"/>
      <w:r>
        <w:rPr>
          <w:color w:val="000000"/>
        </w:rPr>
        <w:t xml:space="preserve">Report on migration to post-quantum </w:t>
      </w:r>
      <w:r>
        <w:rPr>
          <w:color w:val="000000"/>
        </w:rPr>
        <w:t>cryptography in information technology. Not later than 1 year after the date on which the Director of OMB issues guidance under subsection (c)(2), and thereafter until the date that is 5 years after the date on which post-quantum cryptographic standards ar</w:t>
      </w:r>
      <w:r>
        <w:rPr>
          <w:color w:val="000000"/>
        </w:rPr>
        <w:t>e issued, the Director of OMB, in coordination with the National Cyber Director and in consultation with the Director of CISA, shall submit to the Committee on Homeland Security and Governmental Affairs of the Senate and the Committee on Oversight and Refo</w:t>
      </w:r>
      <w:r>
        <w:rPr>
          <w:color w:val="000000"/>
        </w:rPr>
        <w:t>rm of the House of Representatives, with the report submitted pursuant to section 3553(c) of title 44, United States Code, a report on the progress of agencies in adopting post-quantum cryptography standards.</w:t>
      </w:r>
    </w:p>
    <w:p w14:paraId="5FF3F941" w14:textId="77777777" w:rsidR="00223A74" w:rsidRDefault="00FF7A13">
      <w:pPr>
        <w:keepNext/>
        <w:spacing w:before="240" w:line="340" w:lineRule="atLeast"/>
      </w:pPr>
      <w:bookmarkStart w:id="24" w:name="History"/>
      <w:bookmarkEnd w:id="24"/>
      <w:r>
        <w:rPr>
          <w:b/>
          <w:color w:val="000000"/>
          <w:sz w:val="28"/>
        </w:rPr>
        <w:t>History</w:t>
      </w:r>
    </w:p>
    <w:p w14:paraId="2DAE2781" w14:textId="6B877B2C" w:rsidR="00223A74" w:rsidRDefault="00FF7A13">
      <w:pPr>
        <w:spacing w:line="60" w:lineRule="exact"/>
      </w:pPr>
      <w:r>
        <w:rPr>
          <w:noProof/>
        </w:rPr>
        <mc:AlternateContent>
          <mc:Choice Requires="wps">
            <w:drawing>
              <wp:anchor distT="0" distB="0" distL="114300" distR="114300" simplePos="0" relativeHeight="251659264" behindDoc="0" locked="0" layoutInCell="1" allowOverlap="1" wp14:anchorId="0C4A7999" wp14:editId="117FB676">
                <wp:simplePos x="0" y="0"/>
                <wp:positionH relativeFrom="column">
                  <wp:posOffset>0</wp:posOffset>
                </wp:positionH>
                <wp:positionV relativeFrom="paragraph">
                  <wp:posOffset>25400</wp:posOffset>
                </wp:positionV>
                <wp:extent cx="6502400" cy="0"/>
                <wp:effectExtent l="15875" t="13335" r="15875" b="1524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5089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0D2E4C98" w14:textId="77777777" w:rsidR="00223A74" w:rsidRDefault="00223A74"/>
    <w:p w14:paraId="443D16B2" w14:textId="77777777" w:rsidR="00223A74" w:rsidRDefault="00FF7A13">
      <w:pPr>
        <w:spacing w:before="120" w:line="300" w:lineRule="atLeast"/>
      </w:pPr>
      <w:r>
        <w:rPr>
          <w:color w:val="000000"/>
        </w:rPr>
        <w:t>Dec. 21, 2022, P.L. 117-260, § 4, 13</w:t>
      </w:r>
      <w:r>
        <w:rPr>
          <w:color w:val="000000"/>
        </w:rPr>
        <w:t>6 Stat. 2390.</w:t>
      </w:r>
    </w:p>
    <w:p w14:paraId="769C7C55" w14:textId="77777777" w:rsidR="00223A74" w:rsidRDefault="00FF7A13">
      <w:pPr>
        <w:spacing w:before="120" w:line="260" w:lineRule="atLeast"/>
      </w:pPr>
      <w:r>
        <w:br/>
      </w:r>
      <w:r>
        <w:rPr>
          <w:color w:val="000000"/>
          <w:sz w:val="20"/>
        </w:rPr>
        <w:t>United States Code Service</w:t>
      </w:r>
    </w:p>
    <w:p w14:paraId="6C5AC8A1" w14:textId="77777777" w:rsidR="00223A74" w:rsidRDefault="00FF7A13">
      <w:pPr>
        <w:spacing w:line="260" w:lineRule="atLeast"/>
      </w:pPr>
      <w:r>
        <w:rPr>
          <w:color w:val="000000"/>
          <w:sz w:val="20"/>
        </w:rPr>
        <w:t>Copyright © 2024 All rights reserved.</w:t>
      </w:r>
    </w:p>
    <w:p w14:paraId="71CFBD26" w14:textId="77777777" w:rsidR="00223A74" w:rsidRDefault="00223A74"/>
    <w:p w14:paraId="499853F7" w14:textId="3FD9824B" w:rsidR="00223A74" w:rsidRDefault="00FF7A13">
      <w:pPr>
        <w:ind w:left="200"/>
      </w:pPr>
      <w:r>
        <w:lastRenderedPageBreak/>
        <w:br/>
      </w:r>
      <w:r>
        <w:rPr>
          <w:noProof/>
        </w:rPr>
        <mc:AlternateContent>
          <mc:Choice Requires="wps">
            <w:drawing>
              <wp:anchor distT="0" distB="0" distL="114300" distR="114300" simplePos="0" relativeHeight="251660288" behindDoc="0" locked="0" layoutInCell="1" allowOverlap="1" wp14:anchorId="20278979" wp14:editId="0CE171DA">
                <wp:simplePos x="0" y="0"/>
                <wp:positionH relativeFrom="column">
                  <wp:posOffset>0</wp:posOffset>
                </wp:positionH>
                <wp:positionV relativeFrom="paragraph">
                  <wp:posOffset>127000</wp:posOffset>
                </wp:positionV>
                <wp:extent cx="6502400" cy="0"/>
                <wp:effectExtent l="6350" t="9525" r="6350" b="952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8532B"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223A74">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9C5C4" w14:textId="77777777" w:rsidR="00000000" w:rsidRDefault="00FF7A13">
      <w:r>
        <w:separator/>
      </w:r>
    </w:p>
  </w:endnote>
  <w:endnote w:type="continuationSeparator" w:id="0">
    <w:p w14:paraId="0CCFDDB2" w14:textId="77777777" w:rsidR="00000000" w:rsidRDefault="00FF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23A74" w14:paraId="786E81CC" w14:textId="77777777">
      <w:trPr>
        <w:jc w:val="center"/>
      </w:trPr>
      <w:tc>
        <w:tcPr>
          <w:tcW w:w="2600" w:type="dxa"/>
          <w:tcMar>
            <w:top w:w="200" w:type="dxa"/>
          </w:tcMar>
          <w:vAlign w:val="center"/>
        </w:tcPr>
        <w:p w14:paraId="4FE301DD" w14:textId="77777777" w:rsidR="00223A74" w:rsidRDefault="00223A74"/>
      </w:tc>
      <w:tc>
        <w:tcPr>
          <w:tcW w:w="4880" w:type="dxa"/>
          <w:tcMar>
            <w:top w:w="200" w:type="dxa"/>
          </w:tcMar>
          <w:vAlign w:val="center"/>
        </w:tcPr>
        <w:p w14:paraId="52CB5F8A" w14:textId="77777777" w:rsidR="00223A74" w:rsidRDefault="00223A74"/>
      </w:tc>
      <w:tc>
        <w:tcPr>
          <w:tcW w:w="2600" w:type="dxa"/>
          <w:tcMar>
            <w:top w:w="200" w:type="dxa"/>
          </w:tcMar>
          <w:vAlign w:val="center"/>
        </w:tcPr>
        <w:p w14:paraId="5F1D0C52" w14:textId="77777777" w:rsidR="00223A74" w:rsidRDefault="00223A74"/>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9E30" w14:textId="77777777" w:rsidR="00223A74" w:rsidRDefault="00FF7A13">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DF405" w14:textId="77777777" w:rsidR="00000000" w:rsidRDefault="00FF7A13">
      <w:r>
        <w:separator/>
      </w:r>
    </w:p>
  </w:footnote>
  <w:footnote w:type="continuationSeparator" w:id="0">
    <w:p w14:paraId="25D883F4" w14:textId="77777777" w:rsidR="00000000" w:rsidRDefault="00FF7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23A74" w14:paraId="019D2A97" w14:textId="77777777">
      <w:trPr>
        <w:jc w:val="center"/>
      </w:trPr>
      <w:tc>
        <w:tcPr>
          <w:tcW w:w="10080" w:type="dxa"/>
          <w:vAlign w:val="center"/>
        </w:tcPr>
        <w:p w14:paraId="3BD1FB29" w14:textId="6F86B067" w:rsidR="00223A74" w:rsidRDefault="00FF7A13">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3</w:t>
          </w:r>
          <w:r>
            <w:rPr>
              <w:sz w:val="20"/>
            </w:rPr>
            <w:fldChar w:fldCharType="end"/>
          </w:r>
        </w:p>
      </w:tc>
    </w:tr>
    <w:tr w:rsidR="00223A74" w14:paraId="58B7E213" w14:textId="77777777">
      <w:trPr>
        <w:jc w:val="center"/>
      </w:trPr>
      <w:tc>
        <w:tcPr>
          <w:tcW w:w="10080" w:type="dxa"/>
        </w:tcPr>
        <w:p w14:paraId="05779C68" w14:textId="77777777" w:rsidR="00223A74" w:rsidRDefault="00FF7A13">
          <w:pPr>
            <w:spacing w:before="60" w:after="200"/>
            <w:jc w:val="center"/>
          </w:pPr>
          <w:r>
            <w:rPr>
              <w:sz w:val="20"/>
            </w:rPr>
            <w:t>§ 1526. Inventory of cryptographic systems; migration to post-quantum cryptography</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223A74"/>
    <w:rsid w:val="00A77B3E"/>
    <w:rsid w:val="00CA2A55"/>
    <w:rsid w:val="00FF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8EFEAD1"/>
  <w15:docId w15:val="{C0877F68-9210-4604-B21F-4879575D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8AC45FE1-E359-4560-8515-E74C7F15B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7C77D3-45A6-47D1-BDAA-F6DAE62D4E04}">
  <ds:schemaRefs>
    <ds:schemaRef ds:uri="http://schemas.microsoft.com/sharepoint/v3/contenttype/forms"/>
  </ds:schemaRefs>
</ds:datastoreItem>
</file>

<file path=customXml/itemProps3.xml><?xml version="1.0" encoding="utf-8"?>
<ds:datastoreItem xmlns:ds="http://schemas.openxmlformats.org/officeDocument/2006/customXml" ds:itemID="{2F4EF0F1-D579-4ED0-BC6A-D98D9E76845D}">
  <ds:schemaRefs>
    <ds:schemaRef ds:uri="http://schemas.microsoft.com/office/2006/metadata/properties"/>
    <ds:schemaRef ds:uri="4e6a8aeb-c29e-4a8a-85db-b95bdfea34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4460</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1526. Inventory of cryptographic systems; migration to post-quantum cryptography</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1526. Inventory of cryptographic systems; migration to post-quantum cryptography</dc:title>
  <dc:creator>Trayce Hockstad</dc:creator>
  <cp:lastModifiedBy>Trayce Hockstad</cp:lastModifiedBy>
  <cp:revision>2</cp:revision>
  <dcterms:created xsi:type="dcterms:W3CDTF">2024-06-03T18:27:00Z</dcterms:created>
  <dcterms:modified xsi:type="dcterms:W3CDTF">2024-06-03T18:27:00Z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225718246</vt:lpwstr>
  </property>
  <property fmtid="{D5CDD505-2E9C-101B-9397-08002B2CF9AE}" pid="3" name="LADocCount">
    <vt:lpwstr>1</vt:lpwstr>
  </property>
  <property fmtid="{D5CDD505-2E9C-101B-9397-08002B2CF9AE}" pid="4" name="LADocumentID:urn:contentItem:677F-WK03-CGX8-04HM-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