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815.02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XLVI. Crimes. (Chs. 775 — 896)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815. Computer-Related Crimes. (§§ 815.01 — 815.07)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815.02. Legislative intent.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Legislature finds and declares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a growing problem in government as well as in the private sector.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occurs at great cost to the public since losses for each incident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tend to be far greater than the losses associated with each incident of other white collar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opportunities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financial institutions, government programs, government records, and other business enterprises through the introduction of fraudulent records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the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facilities, the alteration or destruction of computerized information or files, and the stealing of financial instruments, data, and other assets are great.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proliferation of new technology has led to the integration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 in most sectors of the marketplace through the creation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networks, greatly extending the reach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.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While various forms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might possibly be the subject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charges based on other provisions of law, it is appropriate and desirable that a supplemental and additional statute be provided which proscribes various forms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abuse.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1, ch. 78-92; s. 2, ch. 2014-208, effective October 1, 2014.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815.02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815.02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