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16-9-92.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the term:</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magnetic, optical, hydraulic, electrochemical, or organic device or group of devices which, pursuant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to human instruction, or to permanent instructions contained in the device or group of devices, can automatically perform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and can communicate the results to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to a person. The term includes any connected or directly related device, equipment, or facility which enables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another device. This term specifically includes, but is not limited to, mail servers and e-mail networks. This term does not include a device that is not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communicate with or to manipulate any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any communications facilities with the function and purpose of transmitting data among them through the communications facilities.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means computing, classifying, transmitting, receiving, retrieving, originating, switching, storing, displaying, manifesting, measuring, detecting, recording, reproducing, handling, or utilizing any form of data for business, scientific, control, or other purposes.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one or more statements or instructions composed and structured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actual or modified form,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The term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shall include all associated procedures and documentation, whether or not such procedures and documentation are in human readable form.</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“Data” includes any representation of information, intelligence, or data in any fixed medium, including documentation,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punched cards, storage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transmission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“Electronic communication” means any transfer of signs, signals, writing, images, sounds, data, or intelligence of any nature transmitted in whole or in part by a wire, radio, electromagnetic, photoelectronic, or photo-optical system that affects interstate or foreign commerce, but does not include:</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Any wire or oral communication;</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Any communication made through a tone-only paging device;</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Any communication from a tracking device; or</w:t>
      </w:r>
    </w:p>
    <w:p>
      <w:pPr>
        <w:keepNext w:val="0"/>
        <w:spacing w:before="120" w:after="0" w:line="300" w:lineRule="atLeast"/>
        <w:ind w:left="1440" w:right="0"/>
        <w:jc w:val="left"/>
      </w:pPr>
      <w:r>
        <w:rPr>
          <w:b/>
        </w:rPr>
        <w:t xml:space="preserve">(D)  </w:t>
      </w:r>
      <w:bookmarkStart w:id="10" w:name="Bookmark__6_d"/>
      <w:bookmarkEnd w:id="10"/>
      <w:r>
        <w:rPr>
          <w:rFonts w:ascii="times" w:eastAsia="times" w:hAnsi="times" w:cs="times"/>
          <w:b w:val="0"/>
          <w:i w:val="0"/>
          <w:strike w:val="0"/>
          <w:noProof w:val="0"/>
          <w:color w:val="000000"/>
          <w:position w:val="0"/>
          <w:sz w:val="24"/>
          <w:u w:val="none"/>
          <w:vertAlign w:val="baseline"/>
        </w:rPr>
        <w:t xml:space="preserve">Electronic funds transfer information stored by a financial institution in a communications system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the electronic storage and transfer of funds.</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“Electronic communication service” means any service which provides to its users the ability to send or receive wire or electronic communications.</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 xml:space="preserve">“Electronic communications system” means any wire, radio, electromagnetic, photoelectronic, photo-optical, or facilities for the transmission of wire or electronic communications, and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facilities or related electronic equipment for the electronic storage of such communications.</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 xml:space="preserve">“Electronic means” is any device or apparatus which can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intercept a wire, oral, or electronic communication other than:</w:t>
      </w:r>
    </w:p>
    <w:p>
      <w:pPr>
        <w:keepNext w:val="0"/>
        <w:spacing w:before="120" w:after="0" w:line="300" w:lineRule="atLeast"/>
        <w:ind w:left="1440" w:right="0"/>
        <w:jc w:val="left"/>
      </w:pPr>
      <w:r>
        <w:rPr>
          <w:b/>
        </w:rPr>
        <w:t xml:space="preserve">(A)  </w:t>
      </w:r>
      <w:bookmarkStart w:id="14" w:name="Bookmark__9_a"/>
      <w:bookmarkEnd w:id="14"/>
      <w:r>
        <w:rPr>
          <w:rFonts w:ascii="times" w:eastAsia="times" w:hAnsi="times" w:cs="times"/>
          <w:b w:val="0"/>
          <w:i w:val="0"/>
          <w:strike w:val="0"/>
          <w:noProof w:val="0"/>
          <w:color w:val="000000"/>
          <w:position w:val="0"/>
          <w:sz w:val="24"/>
          <w:u w:val="none"/>
          <w:vertAlign w:val="baseline"/>
        </w:rPr>
        <w:t>Any telephone or telegraph instrument, equipment, or facility, or any component thereof,</w:t>
      </w:r>
    </w:p>
    <w:p>
      <w:pPr>
        <w:keepNext w:val="0"/>
        <w:spacing w:before="120" w:after="0" w:line="300" w:lineRule="atLeast"/>
        <w:ind w:left="1800" w:right="0"/>
        <w:jc w:val="left"/>
      </w:pPr>
      <w:r>
        <w:rPr>
          <w:b/>
        </w:rPr>
        <w:t xml:space="preserve">(i)  </w:t>
      </w:r>
      <w:bookmarkStart w:id="15" w:name="Bookmark__9_a_i"/>
      <w:bookmarkEnd w:id="15"/>
      <w:r>
        <w:rPr>
          <w:rFonts w:ascii="times" w:eastAsia="times" w:hAnsi="times" w:cs="times"/>
          <w:b w:val="0"/>
          <w:i w:val="0"/>
          <w:strike w:val="0"/>
          <w:noProof w:val="0"/>
          <w:color w:val="000000"/>
          <w:position w:val="0"/>
          <w:sz w:val="24"/>
          <w:u w:val="none"/>
          <w:vertAlign w:val="baseline"/>
        </w:rPr>
        <w:t xml:space="preserve">Furnished to the subscriber or user by a provider of electronic communication service in the ordinary course of its business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subscriber or user in the ordinary course of its business or furnished by such subscriber or user for connection to the facilities of such service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ordinary course of its business; or</w:t>
      </w:r>
    </w:p>
    <w:p>
      <w:pPr>
        <w:keepNext w:val="0"/>
        <w:spacing w:before="120" w:after="0" w:line="300" w:lineRule="atLeast"/>
        <w:ind w:left="1800" w:right="0"/>
        <w:jc w:val="left"/>
      </w:pPr>
      <w:r>
        <w:rPr>
          <w:b/>
        </w:rPr>
        <w:t xml:space="preserve">(ii)  </w:t>
      </w:r>
      <w:bookmarkStart w:id="16" w:name="Bookmark__9_a_ii"/>
      <w:bookmarkEnd w:id="16"/>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provider of electronic communication service in the ordinary course of its business or by an investigative or law enforcement officer in the ordinary course of his or her duties; or</w:t>
      </w:r>
    </w:p>
    <w:p>
      <w:pPr>
        <w:keepNext w:val="0"/>
        <w:spacing w:before="120" w:after="0" w:line="300" w:lineRule="atLeast"/>
        <w:ind w:left="1440" w:right="0"/>
        <w:jc w:val="left"/>
      </w:pPr>
      <w:r>
        <w:rPr>
          <w:b/>
        </w:rPr>
        <w:t xml:space="preserve">(B)  </w:t>
      </w:r>
      <w:bookmarkStart w:id="17" w:name="Bookmark__9_b"/>
      <w:bookmarkEnd w:id="17"/>
      <w:r>
        <w:rPr>
          <w:rFonts w:ascii="times" w:eastAsia="times" w:hAnsi="times" w:cs="times"/>
          <w:b w:val="0"/>
          <w:i w:val="0"/>
          <w:strike w:val="0"/>
          <w:noProof w:val="0"/>
          <w:color w:val="000000"/>
          <w:position w:val="0"/>
          <w:sz w:val="24"/>
          <w:u w:val="none"/>
          <w:vertAlign w:val="baseline"/>
        </w:rPr>
        <w:t xml:space="preserve">A hearing aid or similar device being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correct subnormal hearing to better than normal.</w:t>
      </w:r>
    </w:p>
    <w:p>
      <w:pPr>
        <w:keepNext w:val="0"/>
        <w:spacing w:before="120" w:after="0" w:line="300" w:lineRule="atLeast"/>
        <w:ind w:left="1080" w:right="0"/>
        <w:jc w:val="left"/>
      </w:pPr>
      <w:r>
        <w:rPr>
          <w:b/>
        </w:rPr>
        <w:t xml:space="preserve">(10)  </w:t>
      </w:r>
      <w:bookmarkStart w:id="18" w:name="Bookmark__10"/>
      <w:bookmarkEnd w:id="18"/>
      <w:r>
        <w:rPr>
          <w:rFonts w:ascii="times" w:eastAsia="times" w:hAnsi="times" w:cs="times"/>
          <w:b w:val="0"/>
          <w:i w:val="0"/>
          <w:strike w:val="0"/>
          <w:noProof w:val="0"/>
          <w:color w:val="000000"/>
          <w:position w:val="0"/>
          <w:sz w:val="24"/>
          <w:u w:val="none"/>
          <w:vertAlign w:val="baseline"/>
        </w:rPr>
        <w:t>“Electronic storage” means:</w:t>
      </w:r>
    </w:p>
    <w:p>
      <w:pPr>
        <w:keepNext w:val="0"/>
        <w:spacing w:before="120" w:after="0" w:line="300" w:lineRule="atLeast"/>
        <w:ind w:left="1440" w:right="0"/>
        <w:jc w:val="left"/>
      </w:pPr>
      <w:r>
        <w:rPr>
          <w:b/>
        </w:rPr>
        <w:t xml:space="preserve">(A)  </w:t>
      </w:r>
      <w:bookmarkStart w:id="19" w:name="Bookmark__10_a"/>
      <w:bookmarkEnd w:id="19"/>
      <w:r>
        <w:rPr>
          <w:rFonts w:ascii="times" w:eastAsia="times" w:hAnsi="times" w:cs="times"/>
          <w:b w:val="0"/>
          <w:i w:val="0"/>
          <w:strike w:val="0"/>
          <w:noProof w:val="0"/>
          <w:color w:val="000000"/>
          <w:position w:val="0"/>
          <w:sz w:val="24"/>
          <w:u w:val="none"/>
          <w:vertAlign w:val="baseline"/>
        </w:rPr>
        <w:t>Any temporary, intermediate storage of wire or electronic communication incidental to its electronic transmission; and</w:t>
      </w:r>
    </w:p>
    <w:p>
      <w:pPr>
        <w:keepNext w:val="0"/>
        <w:spacing w:before="120" w:after="0" w:line="300" w:lineRule="atLeast"/>
        <w:ind w:left="1440" w:right="0"/>
        <w:jc w:val="left"/>
      </w:pPr>
      <w:r>
        <w:rPr>
          <w:b/>
        </w:rPr>
        <w:t xml:space="preserve">(B)  </w:t>
      </w:r>
      <w:bookmarkStart w:id="20" w:name="Bookmark__10_b"/>
      <w:bookmarkEnd w:id="20"/>
      <w:r>
        <w:rPr>
          <w:rFonts w:ascii="times" w:eastAsia="times" w:hAnsi="times" w:cs="times"/>
          <w:b w:val="0"/>
          <w:i w:val="0"/>
          <w:strike w:val="0"/>
          <w:noProof w:val="0"/>
          <w:color w:val="000000"/>
          <w:position w:val="0"/>
          <w:sz w:val="24"/>
          <w:u w:val="none"/>
          <w:vertAlign w:val="baseline"/>
        </w:rPr>
        <w:t>Any storage of such communication by an electronic communication service for purposes of backup protection of such communication.</w:t>
      </w:r>
    </w:p>
    <w:p>
      <w:pPr>
        <w:keepNext w:val="0"/>
        <w:spacing w:before="120" w:after="0" w:line="300" w:lineRule="atLeast"/>
        <w:ind w:left="1080" w:right="0"/>
        <w:jc w:val="left"/>
      </w:pPr>
      <w:r>
        <w:rPr>
          <w:b/>
        </w:rPr>
        <w:t xml:space="preserve">(11)  </w:t>
      </w:r>
      <w:bookmarkStart w:id="21" w:name="Bookmark__11"/>
      <w:bookmarkEnd w:id="21"/>
      <w:r>
        <w:rPr>
          <w:rFonts w:ascii="times" w:eastAsia="times" w:hAnsi="times" w:cs="times"/>
          <w:b w:val="0"/>
          <w:i w:val="0"/>
          <w:strike w:val="0"/>
          <w:noProof w:val="0"/>
          <w:color w:val="000000"/>
          <w:position w:val="0"/>
          <w:sz w:val="24"/>
          <w:u w:val="none"/>
          <w:vertAlign w:val="baseline"/>
        </w:rPr>
        <w:t xml:space="preserve">“Financial instruments” includes any check, draft, money order, note, certificate of deposit, letter of credit, bill of exchange, credit or debit card, transaction-authorizing mechanism, or marketable security, or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representation thereof.</w:t>
      </w:r>
    </w:p>
    <w:p>
      <w:pPr>
        <w:keepNext w:val="0"/>
        <w:spacing w:before="120" w:after="0" w:line="300" w:lineRule="atLeast"/>
        <w:ind w:left="1080" w:right="0"/>
        <w:jc w:val="left"/>
      </w:pPr>
      <w:r>
        <w:rPr>
          <w:b/>
        </w:rPr>
        <w:t xml:space="preserve">(12)  </w:t>
      </w:r>
      <w:bookmarkStart w:id="22" w:name="Bookmark__12"/>
      <w:bookmarkEnd w:id="22"/>
      <w:r>
        <w:rPr>
          <w:rFonts w:ascii="times" w:eastAsia="times" w:hAnsi="times" w:cs="times"/>
          <w:b w:val="0"/>
          <w:i w:val="0"/>
          <w:strike w:val="0"/>
          <w:noProof w:val="0"/>
          <w:color w:val="000000"/>
          <w:position w:val="0"/>
          <w:sz w:val="24"/>
          <w:u w:val="none"/>
          <w:vertAlign w:val="baseline"/>
        </w:rPr>
        <w:t xml:space="preserve">“Law enforcement unit” means any law enforcement officer charged with the duty of enforcing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laws and ordinances of the state or of the counties or municipalities of the state who is employed by and compensated by the state or any county or municipality of the state or who is elected and compensated on a fee basis. The term shall include, but not be limited to, members of the Department of Public Safety, municipal police, county police, sheriffs, deputy sheriffs, and agents and investigators of the Georgia Bureau of Investigation.</w:t>
      </w:r>
    </w:p>
    <w:p>
      <w:pPr>
        <w:keepNext w:val="0"/>
        <w:spacing w:before="120" w:after="0" w:line="300" w:lineRule="atLeast"/>
        <w:ind w:left="1080" w:right="0"/>
        <w:jc w:val="left"/>
      </w:pPr>
      <w:r>
        <w:rPr>
          <w:b/>
        </w:rPr>
        <w:t xml:space="preserve">(13)  </w:t>
      </w:r>
      <w:bookmarkStart w:id="23" w:name="Bookmark__13"/>
      <w:bookmarkEnd w:id="23"/>
      <w:r>
        <w:rPr>
          <w:rFonts w:ascii="times" w:eastAsia="times" w:hAnsi="times" w:cs="times"/>
          <w:b w:val="0"/>
          <w:i w:val="0"/>
          <w:strike w:val="0"/>
          <w:noProof w:val="0"/>
          <w:color w:val="000000"/>
          <w:position w:val="0"/>
          <w:sz w:val="24"/>
          <w:u w:val="none"/>
          <w:vertAlign w:val="baseline"/>
        </w:rPr>
        <w:t xml:space="preserve">“Property” includes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data, financial instruments, and services.</w:t>
      </w:r>
    </w:p>
    <w:p>
      <w:pPr>
        <w:keepNext w:val="0"/>
        <w:spacing w:before="120" w:after="0" w:line="300" w:lineRule="atLeast"/>
        <w:ind w:left="1080" w:right="0"/>
        <w:jc w:val="left"/>
      </w:pPr>
      <w:r>
        <w:rPr>
          <w:b/>
        </w:rPr>
        <w:t xml:space="preserve">(14)  </w:t>
      </w:r>
      <w:bookmarkStart w:id="24" w:name="Bookmark__14"/>
      <w:bookmarkEnd w:id="24"/>
      <w:r>
        <w:rPr>
          <w:rFonts w:ascii="times" w:eastAsia="times" w:hAnsi="times" w:cs="times"/>
          <w:b w:val="0"/>
          <w:i w:val="0"/>
          <w:strike w:val="0"/>
          <w:noProof w:val="0"/>
          <w:color w:val="000000"/>
          <w:position w:val="0"/>
          <w:sz w:val="24"/>
          <w:u w:val="none"/>
          <w:vertAlign w:val="baseline"/>
        </w:rPr>
        <w:t xml:space="preserve">“Remote computing service” means the provision to the public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or processing services by means of an electronic communications system.</w:t>
      </w:r>
    </w:p>
    <w:p>
      <w:pPr>
        <w:keepNext w:val="0"/>
        <w:spacing w:before="120" w:after="0" w:line="300" w:lineRule="atLeast"/>
        <w:ind w:left="1080" w:right="0"/>
        <w:jc w:val="left"/>
      </w:pPr>
      <w:r>
        <w:rPr>
          <w:b/>
        </w:rPr>
        <w:t xml:space="preserve">(15)  </w:t>
      </w:r>
      <w:bookmarkStart w:id="25" w:name="Bookmark__15"/>
      <w:bookmarkEnd w:id="25"/>
      <w:r>
        <w:rPr>
          <w:rFonts w:ascii="times" w:eastAsia="times" w:hAnsi="times" w:cs="times"/>
          <w:b w:val="0"/>
          <w:i w:val="0"/>
          <w:strike w:val="0"/>
          <w:noProof w:val="0"/>
          <w:color w:val="000000"/>
          <w:position w:val="0"/>
          <w:sz w:val="24"/>
          <w:u w:val="none"/>
          <w:vertAlign w:val="baseline"/>
        </w:rPr>
        <w:t xml:space="preserve">“Services”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or data processing services.</w:t>
      </w:r>
    </w:p>
    <w:p>
      <w:pPr>
        <w:keepNext w:val="0"/>
        <w:spacing w:before="120" w:after="0" w:line="300" w:lineRule="atLeast"/>
        <w:ind w:left="1080" w:right="0"/>
        <w:jc w:val="left"/>
      </w:pPr>
      <w:r>
        <w:rPr>
          <w:b/>
        </w:rPr>
        <w:t xml:space="preserve">(16)  </w:t>
      </w:r>
      <w:bookmarkStart w:id="26" w:name="Bookmark__16"/>
      <w:bookmarkEnd w:id="2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includes causing or attempting to cause:</w:t>
      </w:r>
    </w:p>
    <w:p>
      <w:pPr>
        <w:keepNext w:val="0"/>
        <w:spacing w:before="120" w:after="0" w:line="300" w:lineRule="atLeast"/>
        <w:ind w:left="1440" w:right="0"/>
        <w:jc w:val="left"/>
      </w:pPr>
      <w:r>
        <w:rPr>
          <w:b/>
        </w:rPr>
        <w:t xml:space="preserve">(A)  </w:t>
      </w:r>
      <w:bookmarkStart w:id="27" w:name="Bookmark__16_a"/>
      <w:bookmarkEnd w:id="2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or to stop performing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440" w:right="0"/>
        <w:jc w:val="left"/>
      </w:pPr>
      <w:r>
        <w:rPr>
          <w:b/>
        </w:rPr>
        <w:t xml:space="preserve">(B)  </w:t>
      </w:r>
      <w:bookmarkStart w:id="28" w:name="Bookmark__16_b"/>
      <w:bookmarkEnd w:id="28"/>
      <w:r>
        <w:rPr>
          <w:rFonts w:ascii="times" w:eastAsia="times" w:hAnsi="times" w:cs="times"/>
          <w:b w:val="0"/>
          <w:i w:val="0"/>
          <w:strike w:val="0"/>
          <w:noProof w:val="0"/>
          <w:color w:val="000000"/>
          <w:position w:val="0"/>
          <w:sz w:val="24"/>
          <w:u w:val="none"/>
          <w:vertAlign w:val="baseline"/>
        </w:rPr>
        <w:t xml:space="preserve">The obstruction, interruption, malfunction, or denial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or</w:t>
      </w:r>
    </w:p>
    <w:p>
      <w:pPr>
        <w:keepNext w:val="0"/>
        <w:spacing w:before="120" w:after="0" w:line="300" w:lineRule="atLeast"/>
        <w:ind w:left="1440" w:right="0"/>
        <w:jc w:val="left"/>
      </w:pPr>
      <w:r>
        <w:rPr>
          <w:b/>
        </w:rPr>
        <w:t xml:space="preserve">(C)  </w:t>
      </w:r>
      <w:bookmarkStart w:id="29" w:name="Bookmark__16_c"/>
      <w:bookmarkEnd w:id="29"/>
      <w:r>
        <w:rPr>
          <w:rFonts w:ascii="times" w:eastAsia="times" w:hAnsi="times" w:cs="times"/>
          <w:b w:val="0"/>
          <w:i w:val="0"/>
          <w:strike w:val="0"/>
          <w:noProof w:val="0"/>
          <w:color w:val="000000"/>
          <w:position w:val="0"/>
          <w:sz w:val="24"/>
          <w:u w:val="none"/>
          <w:vertAlign w:val="baseline"/>
        </w:rPr>
        <w:t xml:space="preserve">A person to put false information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(17)  </w:t>
      </w:r>
      <w:bookmarkStart w:id="30" w:name="Bookmark__17"/>
      <w:bookmarkEnd w:id="30"/>
      <w:r>
        <w:rPr>
          <w:rFonts w:ascii="times" w:eastAsia="times" w:hAnsi="times" w:cs="times"/>
          <w:b w:val="0"/>
          <w:i w:val="0"/>
          <w:strike w:val="0"/>
          <w:noProof w:val="0"/>
          <w:color w:val="000000"/>
          <w:position w:val="0"/>
          <w:sz w:val="24"/>
          <w:u w:val="none"/>
          <w:vertAlign w:val="baseline"/>
        </w:rPr>
        <w:t xml:space="preserve">“Victim expenditure” means any expenditure reasonably and necessarily incurred by the owner to verify that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was or was not altered, deleted, damaged, or destroyed by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(18)  </w:t>
      </w:r>
      <w:bookmarkStart w:id="31" w:name="Bookmark__18"/>
      <w:bookmarkEnd w:id="31"/>
      <w:r>
        <w:rPr>
          <w:rFonts w:ascii="times" w:eastAsia="times" w:hAnsi="times" w:cs="times"/>
          <w:b w:val="0"/>
          <w:i w:val="0"/>
          <w:strike w:val="0"/>
          <w:noProof w:val="0"/>
          <w:color w:val="000000"/>
          <w:position w:val="0"/>
          <w:sz w:val="24"/>
          <w:u w:val="none"/>
          <w:vertAlign w:val="baseline"/>
        </w:rPr>
        <w:t xml:space="preserve">“Without authority” includes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a manner that exceeds any right or permission granted by the owner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16-9-92, enacted by Ga. L. 1991, p. 1045, § 1; Ga. L. 1992, p. 6, § 16; Ga. L. 2005, p. 199, § 3/SB 62.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