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50-29-21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State Government (Chs. 1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 Information Technology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Social Media Platforms on State Computers (§§ 50-29-20 — 50-29-23)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50-29-21. Prohibition on installation, use or visiting of social media platforms on state computers; exception.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for in subsection (b) of this Code section, a state employee or student shall not install, use, or visit any social media platform on state equipment when: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company that directly or indirectly owns or operates such social media platform is: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Directly or indirectly owned or operated by a foreign adversary or is domiciled in, has its principal place of business in, has headquarters in, or is organized under the laws of a foreign adversary;</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Domiciled or has its principal place of business or headquarters in a foreign adversary; or</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Organized under the laws of a foreign adversary.</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A foreign adversary has substantial direct or indirect control or influence over the content moderation practices of a company which directly or indirectly owns or operates the social media platform; or</w:t>
      </w:r>
    </w:p>
    <w:p>
      <w:pPr>
        <w:keepNext w:val="0"/>
        <w:spacing w:before="120" w:after="0" w:line="300" w:lineRule="atLeast"/>
        <w:ind w:left="1080" w:right="0"/>
        <w:jc w:val="left"/>
      </w:pPr>
      <w:r>
        <w:rPr>
          <w:b/>
        </w:rPr>
        <w:t xml:space="preserve">(3)  </w:t>
      </w:r>
      <w:bookmarkStart w:id="7" w:name="Bookmark__a_3"/>
      <w:bookmarkEnd w:id="7"/>
      <w:r>
        <w:rPr>
          <w:rFonts w:ascii="times" w:eastAsia="times" w:hAnsi="times" w:cs="times"/>
          <w:b w:val="0"/>
          <w:i w:val="0"/>
          <w:strike w:val="0"/>
          <w:noProof w:val="0"/>
          <w:color w:val="000000"/>
          <w:position w:val="0"/>
          <w:sz w:val="24"/>
          <w:u w:val="none"/>
          <w:vertAlign w:val="baseline"/>
        </w:rPr>
        <w:t>The social media platform uses software or an algorithm that is directly or indirectly controlled or monitored by a foreign adversary.</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 xml:space="preserve">Notwithstanding the provisions in subsection (a) of this Code section, a state employee shall be authorized to install, use, or visit a social media platform that is otherwise prohibited pursuant to this Code section on state equipment for law enforcement purposes,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research and development, or judicial or legislative proceedings.</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The provisions of this Code section shall be broadly construed and are applicable to the executive, legislative, and judicial branches of this state.</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50-29-21, enacted by Ga. L. 2023, p. 405, § 2/SB 93, effective May 2,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50-29-21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50-29-21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