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Idaho Code § 29-116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all legislation from the 2024 Regular Session and effective prior to July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Idaho Code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 Contracts (Ch. 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General Provisions Relating to Contracts (§§ 29-101 — 29-116)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29-116.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information agreements.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In an action based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agreement that contains a choice of laws provision that would result in application of the uniform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transactions act to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agreement, such choice of laws provision is voidable by the party against whom enforcement is sought, and the agreement will be governed by the laws of the state of Idaho if either party is a resident of this state or has its principal place of business located in this state.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In an action based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agreement that does not contain a choice of laws provision, any party may object to the application of the uniform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transactions act to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agreement. If such an objection is made, the agreement will be governed by the laws of the state of Idaho if either party is a resident of this state or has its principal place of business in this state.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This section may not be varied or invalidated by the agreement of the parties.</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w:t>
      </w:r>
    </w:p>
    <w:p>
      <w:pPr>
        <w:keepNext w:val="0"/>
        <w:spacing w:before="120" w:after="0" w:line="300" w:lineRule="atLeast"/>
        <w:ind w:left="108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means information in electronic form that is obtained from or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that is in a form capable of being processed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agreement” means a contract or agreement to create, modify, transfer, license or otherwise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or rights in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or to perform or support such creation, modification, transfer, license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7" w:name="Bookmark__4_c"/>
      <w:bookmarkEnd w:id="7"/>
      <w:r>
        <w:rPr>
          <w:rFonts w:ascii="times" w:eastAsia="times" w:hAnsi="times" w:cs="times"/>
          <w:b w:val="0"/>
          <w:i w:val="0"/>
          <w:strike w:val="0"/>
          <w:noProof w:val="0"/>
          <w:color w:val="000000"/>
          <w:position w:val="0"/>
          <w:sz w:val="24"/>
          <w:u w:val="none"/>
          <w:vertAlign w:val="baseline"/>
        </w:rPr>
        <w:t xml:space="preserve">“Party” means a party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agreement.</w:t>
      </w:r>
    </w:p>
    <w:p>
      <w:pPr>
        <w:keepNext w:val="0"/>
        <w:spacing w:before="120" w:after="0" w:line="300" w:lineRule="atLeast"/>
        <w:ind w:left="1080" w:right="0"/>
        <w:jc w:val="left"/>
      </w:pPr>
      <w:r>
        <w:rPr>
          <w:b/>
        </w:rPr>
        <w:t xml:space="preserve">(d)  </w:t>
      </w:r>
      <w:bookmarkStart w:id="8" w:name="Bookmark__4_d"/>
      <w:bookmarkEnd w:id="8"/>
      <w:r>
        <w:rPr>
          <w:rFonts w:ascii="times" w:eastAsia="times" w:hAnsi="times" w:cs="times"/>
          <w:b w:val="0"/>
          <w:i w:val="0"/>
          <w:strike w:val="0"/>
          <w:noProof w:val="0"/>
          <w:color w:val="000000"/>
          <w:position w:val="0"/>
          <w:sz w:val="24"/>
          <w:u w:val="none"/>
          <w:vertAlign w:val="baseline"/>
        </w:rPr>
        <w:t xml:space="preserve">“Uniform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transactions act” means the uniform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information transactions act as approved by the national conference of commissioners on uniform state laws and enacted in any jurisdiction, or any substantially similar law enacted in any jurisdiction.</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 29-116, as added by 2007, ch. 286, § 1, p. 815.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Idaho Code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Idaho Code § 29-116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Code § 29-116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